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CC" w:rsidRDefault="000F58FF" w:rsidP="000F58FF">
      <w:pPr>
        <w:contextualSpacing/>
        <w:jc w:val="left"/>
        <w:rPr>
          <w:b/>
          <w:sz w:val="28"/>
        </w:rPr>
      </w:pPr>
      <w:bookmarkStart w:id="0" w:name="_GoBack"/>
      <w:bookmarkEnd w:id="0"/>
      <w:r>
        <w:rPr>
          <w:b/>
          <w:sz w:val="28"/>
        </w:rPr>
        <w:t>Inhaltsverzeichnis</w:t>
      </w:r>
    </w:p>
    <w:p w:rsidR="004759CC" w:rsidRDefault="004759CC" w:rsidP="000F58FF">
      <w:pPr>
        <w:contextualSpacing/>
        <w:jc w:val="left"/>
        <w:rPr>
          <w:b/>
          <w:sz w:val="28"/>
        </w:rPr>
      </w:pPr>
    </w:p>
    <w:p w:rsidR="008C6C27" w:rsidRDefault="00380787">
      <w:pPr>
        <w:pStyle w:val="TOC1"/>
        <w:rPr>
          <w:rFonts w:asciiTheme="minorHAnsi" w:eastAsiaTheme="minorEastAsia" w:hAnsiTheme="minorHAnsi"/>
          <w:noProof/>
          <w:lang w:eastAsia="de-DE"/>
        </w:rPr>
      </w:pPr>
      <w:r>
        <w:rPr>
          <w:b/>
          <w:sz w:val="28"/>
        </w:rPr>
        <w:fldChar w:fldCharType="begin"/>
      </w:r>
      <w:r w:rsidR="004759CC">
        <w:rPr>
          <w:b/>
          <w:sz w:val="28"/>
        </w:rPr>
        <w:instrText xml:space="preserve"> TOC \o "1-3" </w:instrText>
      </w:r>
      <w:r>
        <w:rPr>
          <w:b/>
          <w:sz w:val="28"/>
        </w:rPr>
        <w:fldChar w:fldCharType="separate"/>
      </w:r>
      <w:r w:rsidR="008C6C27">
        <w:rPr>
          <w:noProof/>
        </w:rPr>
        <w:t>1</w:t>
      </w:r>
      <w:r w:rsidR="008C6C27">
        <w:rPr>
          <w:rFonts w:asciiTheme="minorHAnsi" w:eastAsiaTheme="minorEastAsia" w:hAnsiTheme="minorHAnsi"/>
          <w:noProof/>
          <w:lang w:eastAsia="de-DE"/>
        </w:rPr>
        <w:tab/>
      </w:r>
      <w:r w:rsidR="008C6C27">
        <w:rPr>
          <w:noProof/>
        </w:rPr>
        <w:t>Einleitung</w:t>
      </w:r>
      <w:r w:rsidR="008C6C27">
        <w:rPr>
          <w:noProof/>
        </w:rPr>
        <w:tab/>
      </w:r>
      <w:r>
        <w:rPr>
          <w:noProof/>
        </w:rPr>
        <w:fldChar w:fldCharType="begin"/>
      </w:r>
      <w:r w:rsidR="008C6C27">
        <w:rPr>
          <w:noProof/>
        </w:rPr>
        <w:instrText xml:space="preserve"> PAGEREF _Toc156648399 \h </w:instrText>
      </w:r>
      <w:r>
        <w:rPr>
          <w:noProof/>
        </w:rPr>
      </w:r>
      <w:r>
        <w:rPr>
          <w:noProof/>
        </w:rPr>
        <w:fldChar w:fldCharType="separate"/>
      </w:r>
      <w:r w:rsidR="0015279F">
        <w:rPr>
          <w:noProof/>
        </w:rPr>
        <w:t>2</w:t>
      </w:r>
      <w:r>
        <w:rPr>
          <w:noProof/>
        </w:rPr>
        <w:fldChar w:fldCharType="end"/>
      </w:r>
    </w:p>
    <w:p w:rsidR="008C6C27" w:rsidRDefault="008C6C27">
      <w:pPr>
        <w:pStyle w:val="TOC2"/>
        <w:rPr>
          <w:rFonts w:asciiTheme="minorHAnsi" w:eastAsiaTheme="minorEastAsia" w:hAnsiTheme="minorHAnsi"/>
          <w:noProof/>
          <w:lang w:eastAsia="de-DE"/>
        </w:rPr>
      </w:pPr>
      <w:r>
        <w:rPr>
          <w:noProof/>
        </w:rPr>
        <w:t>1.1</w:t>
      </w:r>
      <w:r>
        <w:rPr>
          <w:rFonts w:asciiTheme="minorHAnsi" w:eastAsiaTheme="minorEastAsia" w:hAnsiTheme="minorHAnsi"/>
          <w:noProof/>
          <w:lang w:eastAsia="de-DE"/>
        </w:rPr>
        <w:tab/>
      </w:r>
      <w:r>
        <w:rPr>
          <w:noProof/>
        </w:rPr>
        <w:t>Der USD als Weltreservewährung</w:t>
      </w:r>
      <w:r>
        <w:rPr>
          <w:noProof/>
        </w:rPr>
        <w:tab/>
      </w:r>
      <w:r w:rsidR="00380787">
        <w:rPr>
          <w:noProof/>
        </w:rPr>
        <w:fldChar w:fldCharType="begin"/>
      </w:r>
      <w:r>
        <w:rPr>
          <w:noProof/>
        </w:rPr>
        <w:instrText xml:space="preserve"> PAGEREF _Toc156648400 \h </w:instrText>
      </w:r>
      <w:r w:rsidR="00380787">
        <w:rPr>
          <w:noProof/>
        </w:rPr>
      </w:r>
      <w:r w:rsidR="00380787">
        <w:rPr>
          <w:noProof/>
        </w:rPr>
        <w:fldChar w:fldCharType="separate"/>
      </w:r>
      <w:r w:rsidR="0015279F">
        <w:rPr>
          <w:noProof/>
        </w:rPr>
        <w:t>2</w:t>
      </w:r>
      <w:r w:rsidR="00380787">
        <w:rPr>
          <w:noProof/>
        </w:rPr>
        <w:fldChar w:fldCharType="end"/>
      </w:r>
    </w:p>
    <w:p w:rsidR="008C6C27" w:rsidRDefault="008C6C27">
      <w:pPr>
        <w:pStyle w:val="TOC2"/>
        <w:rPr>
          <w:rFonts w:asciiTheme="minorHAnsi" w:eastAsiaTheme="minorEastAsia" w:hAnsiTheme="minorHAnsi"/>
          <w:noProof/>
          <w:lang w:eastAsia="de-DE"/>
        </w:rPr>
      </w:pPr>
      <w:r>
        <w:rPr>
          <w:noProof/>
        </w:rPr>
        <w:t>1.2</w:t>
      </w:r>
      <w:r>
        <w:rPr>
          <w:rFonts w:asciiTheme="minorHAnsi" w:eastAsiaTheme="minorEastAsia" w:hAnsiTheme="minorHAnsi"/>
          <w:noProof/>
          <w:lang w:eastAsia="de-DE"/>
        </w:rPr>
        <w:tab/>
      </w:r>
      <w:r>
        <w:rPr>
          <w:noProof/>
        </w:rPr>
        <w:t>Die globale Ersparnisschwemme</w:t>
      </w:r>
      <w:r>
        <w:rPr>
          <w:noProof/>
        </w:rPr>
        <w:tab/>
      </w:r>
      <w:r w:rsidR="00380787">
        <w:rPr>
          <w:noProof/>
        </w:rPr>
        <w:fldChar w:fldCharType="begin"/>
      </w:r>
      <w:r>
        <w:rPr>
          <w:noProof/>
        </w:rPr>
        <w:instrText xml:space="preserve"> PAGEREF _Toc156648401 \h </w:instrText>
      </w:r>
      <w:r w:rsidR="00380787">
        <w:rPr>
          <w:noProof/>
        </w:rPr>
      </w:r>
      <w:r w:rsidR="00380787">
        <w:rPr>
          <w:noProof/>
        </w:rPr>
        <w:fldChar w:fldCharType="separate"/>
      </w:r>
      <w:r w:rsidR="0015279F">
        <w:rPr>
          <w:noProof/>
        </w:rPr>
        <w:t>2</w:t>
      </w:r>
      <w:r w:rsidR="00380787">
        <w:rPr>
          <w:noProof/>
        </w:rPr>
        <w:fldChar w:fldCharType="end"/>
      </w:r>
    </w:p>
    <w:p w:rsidR="008C6C27" w:rsidRDefault="008C6C27">
      <w:pPr>
        <w:pStyle w:val="TOC2"/>
        <w:rPr>
          <w:rFonts w:asciiTheme="minorHAnsi" w:eastAsiaTheme="minorEastAsia" w:hAnsiTheme="minorHAnsi"/>
          <w:noProof/>
          <w:lang w:eastAsia="de-DE"/>
        </w:rPr>
      </w:pPr>
      <w:r>
        <w:rPr>
          <w:noProof/>
        </w:rPr>
        <w:t>1.3</w:t>
      </w:r>
      <w:r>
        <w:rPr>
          <w:rFonts w:asciiTheme="minorHAnsi" w:eastAsiaTheme="minorEastAsia" w:hAnsiTheme="minorHAnsi"/>
          <w:noProof/>
          <w:lang w:eastAsia="de-DE"/>
        </w:rPr>
        <w:tab/>
      </w:r>
      <w:r>
        <w:rPr>
          <w:noProof/>
        </w:rPr>
        <w:t>Der amerikanische Haushalt und die Neuauflage des Triffin-Dilemmas</w:t>
      </w:r>
      <w:r>
        <w:rPr>
          <w:noProof/>
        </w:rPr>
        <w:tab/>
      </w:r>
      <w:r w:rsidR="00380787">
        <w:rPr>
          <w:noProof/>
        </w:rPr>
        <w:fldChar w:fldCharType="begin"/>
      </w:r>
      <w:r>
        <w:rPr>
          <w:noProof/>
        </w:rPr>
        <w:instrText xml:space="preserve"> PAGEREF _Toc156648402 \h </w:instrText>
      </w:r>
      <w:r w:rsidR="00380787">
        <w:rPr>
          <w:noProof/>
        </w:rPr>
      </w:r>
      <w:r w:rsidR="00380787">
        <w:rPr>
          <w:noProof/>
        </w:rPr>
        <w:fldChar w:fldCharType="separate"/>
      </w:r>
      <w:r w:rsidR="0015279F">
        <w:rPr>
          <w:noProof/>
        </w:rPr>
        <w:t>3</w:t>
      </w:r>
      <w:r w:rsidR="00380787">
        <w:rPr>
          <w:noProof/>
        </w:rPr>
        <w:fldChar w:fldCharType="end"/>
      </w:r>
    </w:p>
    <w:p w:rsidR="008C6C27" w:rsidRDefault="008C6C27">
      <w:pPr>
        <w:pStyle w:val="TOC2"/>
        <w:rPr>
          <w:rFonts w:asciiTheme="minorHAnsi" w:eastAsiaTheme="minorEastAsia" w:hAnsiTheme="minorHAnsi"/>
          <w:noProof/>
          <w:lang w:eastAsia="de-DE"/>
        </w:rPr>
      </w:pPr>
      <w:r>
        <w:rPr>
          <w:noProof/>
        </w:rPr>
        <w:t>1.4</w:t>
      </w:r>
      <w:r>
        <w:rPr>
          <w:rFonts w:asciiTheme="minorHAnsi" w:eastAsiaTheme="minorEastAsia" w:hAnsiTheme="minorHAnsi"/>
          <w:noProof/>
          <w:lang w:eastAsia="de-DE"/>
        </w:rPr>
        <w:tab/>
      </w:r>
      <w:r>
        <w:rPr>
          <w:noProof/>
        </w:rPr>
        <w:t>Protektionismus, Währungskrieg</w:t>
      </w:r>
      <w:r>
        <w:rPr>
          <w:noProof/>
        </w:rPr>
        <w:tab/>
      </w:r>
      <w:r w:rsidR="00380787">
        <w:rPr>
          <w:noProof/>
        </w:rPr>
        <w:fldChar w:fldCharType="begin"/>
      </w:r>
      <w:r>
        <w:rPr>
          <w:noProof/>
        </w:rPr>
        <w:instrText xml:space="preserve"> PAGEREF _Toc156648403 \h </w:instrText>
      </w:r>
      <w:r w:rsidR="00380787">
        <w:rPr>
          <w:noProof/>
        </w:rPr>
      </w:r>
      <w:r w:rsidR="00380787">
        <w:rPr>
          <w:noProof/>
        </w:rPr>
        <w:fldChar w:fldCharType="separate"/>
      </w:r>
      <w:r w:rsidR="0015279F">
        <w:rPr>
          <w:noProof/>
        </w:rPr>
        <w:t>4</w:t>
      </w:r>
      <w:r w:rsidR="00380787">
        <w:rPr>
          <w:noProof/>
        </w:rPr>
        <w:fldChar w:fldCharType="end"/>
      </w:r>
    </w:p>
    <w:p w:rsidR="008C6C27" w:rsidRDefault="008C6C27">
      <w:pPr>
        <w:pStyle w:val="TOC1"/>
        <w:rPr>
          <w:rFonts w:asciiTheme="minorHAnsi" w:eastAsiaTheme="minorEastAsia" w:hAnsiTheme="minorHAnsi"/>
          <w:noProof/>
          <w:lang w:eastAsia="de-DE"/>
        </w:rPr>
      </w:pPr>
      <w:r>
        <w:rPr>
          <w:noProof/>
        </w:rPr>
        <w:t>2</w:t>
      </w:r>
      <w:r>
        <w:rPr>
          <w:rFonts w:asciiTheme="minorHAnsi" w:eastAsiaTheme="minorEastAsia" w:hAnsiTheme="minorHAnsi"/>
          <w:noProof/>
          <w:lang w:eastAsia="de-DE"/>
        </w:rPr>
        <w:tab/>
      </w:r>
      <w:r>
        <w:rPr>
          <w:noProof/>
        </w:rPr>
        <w:t>Lösungsansätze gegen einzelne Probleme innerhalb der bestehenden Architektur</w:t>
      </w:r>
      <w:r>
        <w:rPr>
          <w:noProof/>
        </w:rPr>
        <w:tab/>
      </w:r>
      <w:r w:rsidR="00380787">
        <w:rPr>
          <w:noProof/>
        </w:rPr>
        <w:fldChar w:fldCharType="begin"/>
      </w:r>
      <w:r>
        <w:rPr>
          <w:noProof/>
        </w:rPr>
        <w:instrText xml:space="preserve"> PAGEREF _Toc156648404 \h </w:instrText>
      </w:r>
      <w:r w:rsidR="00380787">
        <w:rPr>
          <w:noProof/>
        </w:rPr>
      </w:r>
      <w:r w:rsidR="00380787">
        <w:rPr>
          <w:noProof/>
        </w:rPr>
        <w:fldChar w:fldCharType="separate"/>
      </w:r>
      <w:r w:rsidR="0015279F">
        <w:rPr>
          <w:noProof/>
        </w:rPr>
        <w:t>4</w:t>
      </w:r>
      <w:r w:rsidR="00380787">
        <w:rPr>
          <w:noProof/>
        </w:rPr>
        <w:fldChar w:fldCharType="end"/>
      </w:r>
    </w:p>
    <w:p w:rsidR="008C6C27" w:rsidRDefault="008C6C27">
      <w:pPr>
        <w:pStyle w:val="TOC2"/>
        <w:rPr>
          <w:rFonts w:asciiTheme="minorHAnsi" w:eastAsiaTheme="minorEastAsia" w:hAnsiTheme="minorHAnsi"/>
          <w:noProof/>
          <w:lang w:eastAsia="de-DE"/>
        </w:rPr>
      </w:pPr>
      <w:r w:rsidRPr="00A66521">
        <w:rPr>
          <w:noProof/>
          <w:lang w:val="en-US"/>
        </w:rPr>
        <w:t>2.1</w:t>
      </w:r>
      <w:r>
        <w:rPr>
          <w:rFonts w:asciiTheme="minorHAnsi" w:eastAsiaTheme="minorEastAsia" w:hAnsiTheme="minorHAnsi"/>
          <w:noProof/>
          <w:lang w:eastAsia="de-DE"/>
        </w:rPr>
        <w:tab/>
      </w:r>
      <w:r w:rsidRPr="00A66521">
        <w:rPr>
          <w:noProof/>
          <w:lang w:val="en-US"/>
        </w:rPr>
        <w:t>Der Mutual Assessment Process der G-20</w:t>
      </w:r>
      <w:r>
        <w:rPr>
          <w:noProof/>
        </w:rPr>
        <w:tab/>
      </w:r>
      <w:r w:rsidR="00380787">
        <w:rPr>
          <w:noProof/>
        </w:rPr>
        <w:fldChar w:fldCharType="begin"/>
      </w:r>
      <w:r>
        <w:rPr>
          <w:noProof/>
        </w:rPr>
        <w:instrText xml:space="preserve"> PAGEREF _Toc156648405 \h </w:instrText>
      </w:r>
      <w:r w:rsidR="00380787">
        <w:rPr>
          <w:noProof/>
        </w:rPr>
      </w:r>
      <w:r w:rsidR="00380787">
        <w:rPr>
          <w:noProof/>
        </w:rPr>
        <w:fldChar w:fldCharType="separate"/>
      </w:r>
      <w:r w:rsidR="0015279F">
        <w:rPr>
          <w:noProof/>
        </w:rPr>
        <w:t>4</w:t>
      </w:r>
      <w:r w:rsidR="00380787">
        <w:rPr>
          <w:noProof/>
        </w:rPr>
        <w:fldChar w:fldCharType="end"/>
      </w:r>
    </w:p>
    <w:p w:rsidR="008C6C27" w:rsidRDefault="008C6C27">
      <w:pPr>
        <w:pStyle w:val="TOC2"/>
        <w:rPr>
          <w:rFonts w:asciiTheme="minorHAnsi" w:eastAsiaTheme="minorEastAsia" w:hAnsiTheme="minorHAnsi"/>
          <w:noProof/>
          <w:lang w:eastAsia="de-DE"/>
        </w:rPr>
      </w:pPr>
      <w:r>
        <w:rPr>
          <w:noProof/>
        </w:rPr>
        <w:t>2.2</w:t>
      </w:r>
      <w:r>
        <w:rPr>
          <w:rFonts w:asciiTheme="minorHAnsi" w:eastAsiaTheme="minorEastAsia" w:hAnsiTheme="minorHAnsi"/>
          <w:noProof/>
          <w:lang w:eastAsia="de-DE"/>
        </w:rPr>
        <w:tab/>
      </w:r>
      <w:r>
        <w:rPr>
          <w:noProof/>
        </w:rPr>
        <w:t>Banken- und Finanzsektorregulierung</w:t>
      </w:r>
      <w:r>
        <w:rPr>
          <w:noProof/>
        </w:rPr>
        <w:tab/>
      </w:r>
      <w:r w:rsidR="00380787">
        <w:rPr>
          <w:noProof/>
        </w:rPr>
        <w:fldChar w:fldCharType="begin"/>
      </w:r>
      <w:r>
        <w:rPr>
          <w:noProof/>
        </w:rPr>
        <w:instrText xml:space="preserve"> PAGEREF _Toc156648406 \h </w:instrText>
      </w:r>
      <w:r w:rsidR="00380787">
        <w:rPr>
          <w:noProof/>
        </w:rPr>
      </w:r>
      <w:r w:rsidR="00380787">
        <w:rPr>
          <w:noProof/>
        </w:rPr>
        <w:fldChar w:fldCharType="separate"/>
      </w:r>
      <w:r w:rsidR="0015279F">
        <w:rPr>
          <w:noProof/>
        </w:rPr>
        <w:t>5</w:t>
      </w:r>
      <w:r w:rsidR="00380787">
        <w:rPr>
          <w:noProof/>
        </w:rPr>
        <w:fldChar w:fldCharType="end"/>
      </w:r>
    </w:p>
    <w:p w:rsidR="008C6C27" w:rsidRDefault="008C6C27">
      <w:pPr>
        <w:pStyle w:val="TOC2"/>
        <w:rPr>
          <w:rFonts w:asciiTheme="minorHAnsi" w:eastAsiaTheme="minorEastAsia" w:hAnsiTheme="minorHAnsi"/>
          <w:noProof/>
          <w:lang w:eastAsia="de-DE"/>
        </w:rPr>
      </w:pPr>
      <w:r>
        <w:rPr>
          <w:noProof/>
        </w:rPr>
        <w:t>2.3</w:t>
      </w:r>
      <w:r>
        <w:rPr>
          <w:rFonts w:asciiTheme="minorHAnsi" w:eastAsiaTheme="minorEastAsia" w:hAnsiTheme="minorHAnsi"/>
          <w:noProof/>
          <w:lang w:eastAsia="de-DE"/>
        </w:rPr>
        <w:tab/>
      </w:r>
      <w:r>
        <w:rPr>
          <w:noProof/>
        </w:rPr>
        <w:t>Festschreibung von Leistungsbilanzsalden</w:t>
      </w:r>
      <w:r>
        <w:rPr>
          <w:noProof/>
        </w:rPr>
        <w:tab/>
      </w:r>
      <w:r w:rsidR="00380787">
        <w:rPr>
          <w:noProof/>
        </w:rPr>
        <w:fldChar w:fldCharType="begin"/>
      </w:r>
      <w:r>
        <w:rPr>
          <w:noProof/>
        </w:rPr>
        <w:instrText xml:space="preserve"> PAGEREF _Toc156648407 \h </w:instrText>
      </w:r>
      <w:r w:rsidR="00380787">
        <w:rPr>
          <w:noProof/>
        </w:rPr>
      </w:r>
      <w:r w:rsidR="00380787">
        <w:rPr>
          <w:noProof/>
        </w:rPr>
        <w:fldChar w:fldCharType="separate"/>
      </w:r>
      <w:r w:rsidR="0015279F">
        <w:rPr>
          <w:noProof/>
        </w:rPr>
        <w:t>6</w:t>
      </w:r>
      <w:r w:rsidR="00380787">
        <w:rPr>
          <w:noProof/>
        </w:rPr>
        <w:fldChar w:fldCharType="end"/>
      </w:r>
    </w:p>
    <w:p w:rsidR="008C6C27" w:rsidRDefault="008C6C27">
      <w:pPr>
        <w:pStyle w:val="TOC2"/>
        <w:rPr>
          <w:rFonts w:asciiTheme="minorHAnsi" w:eastAsiaTheme="minorEastAsia" w:hAnsiTheme="minorHAnsi"/>
          <w:noProof/>
          <w:lang w:eastAsia="de-DE"/>
        </w:rPr>
      </w:pPr>
      <w:r>
        <w:rPr>
          <w:noProof/>
        </w:rPr>
        <w:t>2.4</w:t>
      </w:r>
      <w:r>
        <w:rPr>
          <w:rFonts w:asciiTheme="minorHAnsi" w:eastAsiaTheme="minorEastAsia" w:hAnsiTheme="minorHAnsi"/>
          <w:noProof/>
          <w:lang w:eastAsia="de-DE"/>
        </w:rPr>
        <w:tab/>
      </w:r>
      <w:r>
        <w:rPr>
          <w:noProof/>
        </w:rPr>
        <w:t>Versicherung gegen Währungskrisen</w:t>
      </w:r>
      <w:r>
        <w:rPr>
          <w:noProof/>
        </w:rPr>
        <w:tab/>
      </w:r>
      <w:r w:rsidR="00380787">
        <w:rPr>
          <w:noProof/>
        </w:rPr>
        <w:fldChar w:fldCharType="begin"/>
      </w:r>
      <w:r>
        <w:rPr>
          <w:noProof/>
        </w:rPr>
        <w:instrText xml:space="preserve"> PAGEREF _Toc156648408 \h </w:instrText>
      </w:r>
      <w:r w:rsidR="00380787">
        <w:rPr>
          <w:noProof/>
        </w:rPr>
      </w:r>
      <w:r w:rsidR="00380787">
        <w:rPr>
          <w:noProof/>
        </w:rPr>
        <w:fldChar w:fldCharType="separate"/>
      </w:r>
      <w:r w:rsidR="0015279F">
        <w:rPr>
          <w:noProof/>
        </w:rPr>
        <w:t>6</w:t>
      </w:r>
      <w:r w:rsidR="00380787">
        <w:rPr>
          <w:noProof/>
        </w:rPr>
        <w:fldChar w:fldCharType="end"/>
      </w:r>
    </w:p>
    <w:p w:rsidR="008C6C27" w:rsidRDefault="008C6C27">
      <w:pPr>
        <w:pStyle w:val="TOC1"/>
        <w:rPr>
          <w:rFonts w:asciiTheme="minorHAnsi" w:eastAsiaTheme="minorEastAsia" w:hAnsiTheme="minorHAnsi"/>
          <w:noProof/>
          <w:lang w:eastAsia="de-DE"/>
        </w:rPr>
      </w:pPr>
      <w:r>
        <w:rPr>
          <w:noProof/>
        </w:rPr>
        <w:t>3</w:t>
      </w:r>
      <w:r>
        <w:rPr>
          <w:rFonts w:asciiTheme="minorHAnsi" w:eastAsiaTheme="minorEastAsia" w:hAnsiTheme="minorHAnsi"/>
          <w:noProof/>
          <w:lang w:eastAsia="de-DE"/>
        </w:rPr>
        <w:tab/>
      </w:r>
      <w:r>
        <w:rPr>
          <w:noProof/>
        </w:rPr>
        <w:t>Vorschläge für eine neue globale monetäre Architektur</w:t>
      </w:r>
      <w:r>
        <w:rPr>
          <w:noProof/>
        </w:rPr>
        <w:tab/>
      </w:r>
      <w:r w:rsidR="00380787">
        <w:rPr>
          <w:noProof/>
        </w:rPr>
        <w:fldChar w:fldCharType="begin"/>
      </w:r>
      <w:r>
        <w:rPr>
          <w:noProof/>
        </w:rPr>
        <w:instrText xml:space="preserve"> PAGEREF _Toc156648409 \h </w:instrText>
      </w:r>
      <w:r w:rsidR="00380787">
        <w:rPr>
          <w:noProof/>
        </w:rPr>
      </w:r>
      <w:r w:rsidR="00380787">
        <w:rPr>
          <w:noProof/>
        </w:rPr>
        <w:fldChar w:fldCharType="separate"/>
      </w:r>
      <w:r w:rsidR="0015279F">
        <w:rPr>
          <w:noProof/>
        </w:rPr>
        <w:t>7</w:t>
      </w:r>
      <w:r w:rsidR="00380787">
        <w:rPr>
          <w:noProof/>
        </w:rPr>
        <w:fldChar w:fldCharType="end"/>
      </w:r>
    </w:p>
    <w:p w:rsidR="008C6C27" w:rsidRDefault="008C6C27">
      <w:pPr>
        <w:pStyle w:val="TOC2"/>
        <w:rPr>
          <w:rFonts w:asciiTheme="minorHAnsi" w:eastAsiaTheme="minorEastAsia" w:hAnsiTheme="minorHAnsi"/>
          <w:noProof/>
          <w:lang w:eastAsia="de-DE"/>
        </w:rPr>
      </w:pPr>
      <w:r>
        <w:rPr>
          <w:noProof/>
        </w:rPr>
        <w:t>3.1</w:t>
      </w:r>
      <w:r>
        <w:rPr>
          <w:rFonts w:asciiTheme="minorHAnsi" w:eastAsiaTheme="minorEastAsia" w:hAnsiTheme="minorHAnsi"/>
          <w:noProof/>
          <w:lang w:eastAsia="de-DE"/>
        </w:rPr>
        <w:tab/>
      </w:r>
      <w:r>
        <w:rPr>
          <w:noProof/>
        </w:rPr>
        <w:t>Kapitalverkehrskontrollen</w:t>
      </w:r>
      <w:r>
        <w:rPr>
          <w:noProof/>
        </w:rPr>
        <w:tab/>
      </w:r>
      <w:r w:rsidR="00380787">
        <w:rPr>
          <w:noProof/>
        </w:rPr>
        <w:fldChar w:fldCharType="begin"/>
      </w:r>
      <w:r>
        <w:rPr>
          <w:noProof/>
        </w:rPr>
        <w:instrText xml:space="preserve"> PAGEREF _Toc156648410 \h </w:instrText>
      </w:r>
      <w:r w:rsidR="00380787">
        <w:rPr>
          <w:noProof/>
        </w:rPr>
      </w:r>
      <w:r w:rsidR="00380787">
        <w:rPr>
          <w:noProof/>
        </w:rPr>
        <w:fldChar w:fldCharType="separate"/>
      </w:r>
      <w:r w:rsidR="0015279F">
        <w:rPr>
          <w:noProof/>
        </w:rPr>
        <w:t>7</w:t>
      </w:r>
      <w:r w:rsidR="00380787">
        <w:rPr>
          <w:noProof/>
        </w:rPr>
        <w:fldChar w:fldCharType="end"/>
      </w:r>
    </w:p>
    <w:p w:rsidR="008C6C27" w:rsidRDefault="008C6C27">
      <w:pPr>
        <w:pStyle w:val="TOC2"/>
        <w:rPr>
          <w:rFonts w:asciiTheme="minorHAnsi" w:eastAsiaTheme="minorEastAsia" w:hAnsiTheme="minorHAnsi"/>
          <w:noProof/>
          <w:lang w:eastAsia="de-DE"/>
        </w:rPr>
      </w:pPr>
      <w:r>
        <w:rPr>
          <w:noProof/>
        </w:rPr>
        <w:t>3.2</w:t>
      </w:r>
      <w:r>
        <w:rPr>
          <w:rFonts w:asciiTheme="minorHAnsi" w:eastAsiaTheme="minorEastAsia" w:hAnsiTheme="minorHAnsi"/>
          <w:noProof/>
          <w:lang w:eastAsia="de-DE"/>
        </w:rPr>
        <w:tab/>
      </w:r>
      <w:r>
        <w:rPr>
          <w:noProof/>
        </w:rPr>
        <w:t>Zoellick: „Goldstandard“</w:t>
      </w:r>
      <w:r>
        <w:rPr>
          <w:noProof/>
        </w:rPr>
        <w:tab/>
      </w:r>
      <w:r w:rsidR="00380787">
        <w:rPr>
          <w:noProof/>
        </w:rPr>
        <w:fldChar w:fldCharType="begin"/>
      </w:r>
      <w:r>
        <w:rPr>
          <w:noProof/>
        </w:rPr>
        <w:instrText xml:space="preserve"> PAGEREF _Toc156648411 \h </w:instrText>
      </w:r>
      <w:r w:rsidR="00380787">
        <w:rPr>
          <w:noProof/>
        </w:rPr>
      </w:r>
      <w:r w:rsidR="00380787">
        <w:rPr>
          <w:noProof/>
        </w:rPr>
        <w:fldChar w:fldCharType="separate"/>
      </w:r>
      <w:r w:rsidR="0015279F">
        <w:rPr>
          <w:noProof/>
        </w:rPr>
        <w:t>7</w:t>
      </w:r>
      <w:r w:rsidR="00380787">
        <w:rPr>
          <w:noProof/>
        </w:rPr>
        <w:fldChar w:fldCharType="end"/>
      </w:r>
    </w:p>
    <w:p w:rsidR="008C6C27" w:rsidRDefault="008C6C27">
      <w:pPr>
        <w:pStyle w:val="TOC2"/>
        <w:rPr>
          <w:rFonts w:asciiTheme="minorHAnsi" w:eastAsiaTheme="minorEastAsia" w:hAnsiTheme="minorHAnsi"/>
          <w:noProof/>
          <w:lang w:eastAsia="de-DE"/>
        </w:rPr>
      </w:pPr>
      <w:r>
        <w:rPr>
          <w:noProof/>
        </w:rPr>
        <w:t>3.3</w:t>
      </w:r>
      <w:r>
        <w:rPr>
          <w:rFonts w:asciiTheme="minorHAnsi" w:eastAsiaTheme="minorEastAsia" w:hAnsiTheme="minorHAnsi"/>
          <w:noProof/>
          <w:lang w:eastAsia="de-DE"/>
        </w:rPr>
        <w:tab/>
      </w:r>
      <w:r>
        <w:rPr>
          <w:noProof/>
        </w:rPr>
        <w:t>Neue Rolle des IWF (LLR) und der G-20</w:t>
      </w:r>
      <w:r>
        <w:rPr>
          <w:noProof/>
        </w:rPr>
        <w:tab/>
      </w:r>
      <w:r w:rsidR="00380787">
        <w:rPr>
          <w:noProof/>
        </w:rPr>
        <w:fldChar w:fldCharType="begin"/>
      </w:r>
      <w:r>
        <w:rPr>
          <w:noProof/>
        </w:rPr>
        <w:instrText xml:space="preserve"> PAGEREF _Toc156648412 \h </w:instrText>
      </w:r>
      <w:r w:rsidR="00380787">
        <w:rPr>
          <w:noProof/>
        </w:rPr>
      </w:r>
      <w:r w:rsidR="00380787">
        <w:rPr>
          <w:noProof/>
        </w:rPr>
        <w:fldChar w:fldCharType="separate"/>
      </w:r>
      <w:r w:rsidR="0015279F">
        <w:rPr>
          <w:noProof/>
        </w:rPr>
        <w:t>7</w:t>
      </w:r>
      <w:r w:rsidR="00380787">
        <w:rPr>
          <w:noProof/>
        </w:rPr>
        <w:fldChar w:fldCharType="end"/>
      </w:r>
    </w:p>
    <w:p w:rsidR="008C6C27" w:rsidRDefault="008C6C27">
      <w:pPr>
        <w:pStyle w:val="TOC2"/>
        <w:rPr>
          <w:rFonts w:asciiTheme="minorHAnsi" w:eastAsiaTheme="minorEastAsia" w:hAnsiTheme="minorHAnsi"/>
          <w:noProof/>
          <w:lang w:eastAsia="de-DE"/>
        </w:rPr>
      </w:pPr>
      <w:r>
        <w:rPr>
          <w:noProof/>
        </w:rPr>
        <w:t>3.4</w:t>
      </w:r>
      <w:r>
        <w:rPr>
          <w:rFonts w:asciiTheme="minorHAnsi" w:eastAsiaTheme="minorEastAsia" w:hAnsiTheme="minorHAnsi"/>
          <w:noProof/>
          <w:lang w:eastAsia="de-DE"/>
        </w:rPr>
        <w:tab/>
      </w:r>
      <w:r>
        <w:rPr>
          <w:noProof/>
        </w:rPr>
        <w:t>Alternative Leitwährungen zum US-Dollar</w:t>
      </w:r>
      <w:r>
        <w:rPr>
          <w:noProof/>
        </w:rPr>
        <w:tab/>
      </w:r>
      <w:r w:rsidR="00380787">
        <w:rPr>
          <w:noProof/>
        </w:rPr>
        <w:fldChar w:fldCharType="begin"/>
      </w:r>
      <w:r>
        <w:rPr>
          <w:noProof/>
        </w:rPr>
        <w:instrText xml:space="preserve"> PAGEREF _Toc156648413 \h </w:instrText>
      </w:r>
      <w:r w:rsidR="00380787">
        <w:rPr>
          <w:noProof/>
        </w:rPr>
      </w:r>
      <w:r w:rsidR="00380787">
        <w:rPr>
          <w:noProof/>
        </w:rPr>
        <w:fldChar w:fldCharType="separate"/>
      </w:r>
      <w:r w:rsidR="0015279F">
        <w:rPr>
          <w:noProof/>
        </w:rPr>
        <w:t>8</w:t>
      </w:r>
      <w:r w:rsidR="00380787">
        <w:rPr>
          <w:noProof/>
        </w:rPr>
        <w:fldChar w:fldCharType="end"/>
      </w:r>
    </w:p>
    <w:p w:rsidR="008C6C27" w:rsidRDefault="008C6C27">
      <w:pPr>
        <w:pStyle w:val="TOC1"/>
        <w:rPr>
          <w:rFonts w:asciiTheme="minorHAnsi" w:eastAsiaTheme="minorEastAsia" w:hAnsiTheme="minorHAnsi"/>
          <w:noProof/>
          <w:lang w:eastAsia="de-DE"/>
        </w:rPr>
      </w:pPr>
      <w:r>
        <w:rPr>
          <w:noProof/>
        </w:rPr>
        <w:t>4</w:t>
      </w:r>
      <w:r>
        <w:rPr>
          <w:rFonts w:asciiTheme="minorHAnsi" w:eastAsiaTheme="minorEastAsia" w:hAnsiTheme="minorHAnsi"/>
          <w:noProof/>
          <w:lang w:eastAsia="de-DE"/>
        </w:rPr>
        <w:tab/>
      </w:r>
      <w:r>
        <w:rPr>
          <w:noProof/>
        </w:rPr>
        <w:t>Fazit</w:t>
      </w:r>
      <w:r>
        <w:rPr>
          <w:noProof/>
        </w:rPr>
        <w:tab/>
      </w:r>
      <w:r w:rsidR="00380787">
        <w:rPr>
          <w:noProof/>
        </w:rPr>
        <w:fldChar w:fldCharType="begin"/>
      </w:r>
      <w:r>
        <w:rPr>
          <w:noProof/>
        </w:rPr>
        <w:instrText xml:space="preserve"> PAGEREF _Toc156648414 \h </w:instrText>
      </w:r>
      <w:r w:rsidR="00380787">
        <w:rPr>
          <w:noProof/>
        </w:rPr>
      </w:r>
      <w:r w:rsidR="00380787">
        <w:rPr>
          <w:noProof/>
        </w:rPr>
        <w:fldChar w:fldCharType="separate"/>
      </w:r>
      <w:r w:rsidR="0015279F">
        <w:rPr>
          <w:noProof/>
        </w:rPr>
        <w:t>9</w:t>
      </w:r>
      <w:r w:rsidR="00380787">
        <w:rPr>
          <w:noProof/>
        </w:rPr>
        <w:fldChar w:fldCharType="end"/>
      </w:r>
    </w:p>
    <w:p w:rsidR="008C6C27" w:rsidRDefault="008C6C27">
      <w:pPr>
        <w:pStyle w:val="TOC1"/>
        <w:rPr>
          <w:rFonts w:asciiTheme="minorHAnsi" w:eastAsiaTheme="minorEastAsia" w:hAnsiTheme="minorHAnsi"/>
          <w:noProof/>
          <w:lang w:eastAsia="de-DE"/>
        </w:rPr>
      </w:pPr>
      <w:r>
        <w:rPr>
          <w:noProof/>
        </w:rPr>
        <w:t>Literaturverzeichnis</w:t>
      </w:r>
      <w:r>
        <w:rPr>
          <w:noProof/>
        </w:rPr>
        <w:tab/>
      </w:r>
      <w:r w:rsidR="00380787">
        <w:rPr>
          <w:noProof/>
        </w:rPr>
        <w:fldChar w:fldCharType="begin"/>
      </w:r>
      <w:r>
        <w:rPr>
          <w:noProof/>
        </w:rPr>
        <w:instrText xml:space="preserve"> PAGEREF _Toc156648415 \h </w:instrText>
      </w:r>
      <w:r w:rsidR="00380787">
        <w:rPr>
          <w:noProof/>
        </w:rPr>
      </w:r>
      <w:r w:rsidR="00380787">
        <w:rPr>
          <w:noProof/>
        </w:rPr>
        <w:fldChar w:fldCharType="separate"/>
      </w:r>
      <w:r w:rsidR="0015279F">
        <w:rPr>
          <w:noProof/>
        </w:rPr>
        <w:t>10</w:t>
      </w:r>
      <w:r w:rsidR="00380787">
        <w:rPr>
          <w:noProof/>
        </w:rPr>
        <w:fldChar w:fldCharType="end"/>
      </w:r>
    </w:p>
    <w:p w:rsidR="000F58FF" w:rsidRPr="00303F11" w:rsidRDefault="00380787" w:rsidP="000F58FF">
      <w:pPr>
        <w:contextualSpacing/>
        <w:jc w:val="left"/>
        <w:rPr>
          <w:b/>
          <w:sz w:val="28"/>
        </w:rPr>
      </w:pPr>
      <w:r>
        <w:rPr>
          <w:b/>
          <w:sz w:val="28"/>
        </w:rPr>
        <w:fldChar w:fldCharType="end"/>
      </w:r>
    </w:p>
    <w:p w:rsidR="000F58FF" w:rsidRDefault="000F58FF" w:rsidP="000F58FF">
      <w:pPr>
        <w:pStyle w:val="NoSpacing"/>
        <w:jc w:val="right"/>
        <w:rPr>
          <w:sz w:val="18"/>
        </w:rPr>
      </w:pPr>
    </w:p>
    <w:p w:rsidR="008C6C27" w:rsidRDefault="008C6C27" w:rsidP="000F58FF"/>
    <w:p w:rsidR="008C6C27" w:rsidRDefault="008C6C27" w:rsidP="000F58FF"/>
    <w:p w:rsidR="008C6C27" w:rsidRDefault="008C6C27" w:rsidP="000F58FF"/>
    <w:p w:rsidR="008C6C27" w:rsidRDefault="008C6C27" w:rsidP="000F58FF"/>
    <w:p w:rsidR="008C6C27" w:rsidRDefault="008C6C27" w:rsidP="000F58FF"/>
    <w:p w:rsidR="000F58FF" w:rsidRPr="008C6C27" w:rsidRDefault="008C6C27" w:rsidP="000F58FF">
      <w:pPr>
        <w:rPr>
          <w:b/>
          <w:sz w:val="28"/>
        </w:rPr>
      </w:pPr>
      <w:r w:rsidRPr="008C6C27">
        <w:rPr>
          <w:b/>
          <w:sz w:val="28"/>
        </w:rPr>
        <w:t>Abkürzungen</w:t>
      </w:r>
    </w:p>
    <w:p w:rsidR="000F58FF" w:rsidRPr="000F0F8B" w:rsidRDefault="000F58FF" w:rsidP="000F58FF">
      <w:pPr>
        <w:pStyle w:val="ListParagraph"/>
        <w:spacing w:line="360" w:lineRule="auto"/>
        <w:ind w:left="284"/>
      </w:pPr>
      <w:r w:rsidRPr="000F0F8B">
        <w:t>BIZ</w:t>
      </w:r>
      <w:r>
        <w:tab/>
      </w:r>
      <w:r>
        <w:tab/>
      </w:r>
      <w:r>
        <w:tab/>
        <w:t>Bank für Internationalen Zahlungsausgleich</w:t>
      </w:r>
    </w:p>
    <w:p w:rsidR="000F58FF" w:rsidRDefault="000F58FF" w:rsidP="000F58FF">
      <w:pPr>
        <w:pStyle w:val="ListParagraph"/>
        <w:spacing w:line="360" w:lineRule="auto"/>
        <w:ind w:left="284"/>
      </w:pPr>
      <w:r>
        <w:t xml:space="preserve">IWF </w:t>
      </w:r>
      <w:r>
        <w:tab/>
      </w:r>
      <w:r>
        <w:tab/>
        <w:t>Internationaler Währungsfond</w:t>
      </w:r>
    </w:p>
    <w:p w:rsidR="000F58FF" w:rsidRDefault="000F58FF" w:rsidP="000F58FF">
      <w:pPr>
        <w:pStyle w:val="ListParagraph"/>
        <w:spacing w:line="360" w:lineRule="auto"/>
        <w:ind w:left="284"/>
      </w:pPr>
      <w:r>
        <w:t>FSB</w:t>
      </w:r>
      <w:r>
        <w:tab/>
      </w:r>
      <w:r>
        <w:tab/>
      </w:r>
      <w:r>
        <w:tab/>
        <w:t xml:space="preserve">International Stability Board  </w:t>
      </w:r>
    </w:p>
    <w:p w:rsidR="000F58FF" w:rsidRDefault="000F58FF" w:rsidP="000F58FF">
      <w:pPr>
        <w:pStyle w:val="ListParagraph"/>
        <w:spacing w:line="360" w:lineRule="auto"/>
        <w:ind w:left="284"/>
      </w:pPr>
      <w:r>
        <w:t>FSF</w:t>
      </w:r>
      <w:r>
        <w:tab/>
      </w:r>
      <w:r>
        <w:tab/>
      </w:r>
      <w:r>
        <w:tab/>
        <w:t>Financial Stability Forum</w:t>
      </w:r>
    </w:p>
    <w:p w:rsidR="000F58FF" w:rsidRPr="00217FE0" w:rsidRDefault="000F58FF" w:rsidP="000F58FF">
      <w:pPr>
        <w:pStyle w:val="ListParagraph"/>
        <w:spacing w:line="360" w:lineRule="auto"/>
        <w:ind w:left="284"/>
        <w:rPr>
          <w:lang w:val="en-US"/>
        </w:rPr>
      </w:pPr>
      <w:r w:rsidRPr="00217FE0">
        <w:rPr>
          <w:lang w:val="en-US"/>
        </w:rPr>
        <w:t>OECD</w:t>
      </w:r>
      <w:r w:rsidRPr="00217FE0">
        <w:rPr>
          <w:lang w:val="en-US"/>
        </w:rPr>
        <w:tab/>
      </w:r>
      <w:r w:rsidRPr="00217FE0">
        <w:rPr>
          <w:lang w:val="en-US"/>
        </w:rPr>
        <w:tab/>
        <w:t>Organisation for Economic Co-operation and Development</w:t>
      </w:r>
    </w:p>
    <w:p w:rsidR="000F58FF" w:rsidRPr="00217FE0" w:rsidRDefault="000F58FF" w:rsidP="000F58FF">
      <w:pPr>
        <w:pStyle w:val="ListParagraph"/>
        <w:spacing w:line="360" w:lineRule="auto"/>
        <w:ind w:left="284"/>
        <w:rPr>
          <w:lang w:val="en-US"/>
        </w:rPr>
      </w:pPr>
      <w:r w:rsidRPr="00217FE0">
        <w:rPr>
          <w:lang w:val="en-US"/>
        </w:rPr>
        <w:t>LLR</w:t>
      </w:r>
      <w:r w:rsidRPr="00217FE0">
        <w:rPr>
          <w:lang w:val="en-US"/>
        </w:rPr>
        <w:tab/>
      </w:r>
      <w:r w:rsidRPr="00217FE0">
        <w:rPr>
          <w:lang w:val="en-US"/>
        </w:rPr>
        <w:tab/>
      </w:r>
      <w:r w:rsidRPr="00217FE0">
        <w:rPr>
          <w:lang w:val="en-US"/>
        </w:rPr>
        <w:tab/>
        <w:t>Lender of Last Resort</w:t>
      </w:r>
    </w:p>
    <w:p w:rsidR="000F58FF" w:rsidRPr="00217FE0" w:rsidRDefault="000F58FF" w:rsidP="000F58FF">
      <w:pPr>
        <w:pStyle w:val="ListParagraph"/>
        <w:spacing w:line="360" w:lineRule="auto"/>
        <w:ind w:left="284"/>
        <w:rPr>
          <w:lang w:val="en-US"/>
        </w:rPr>
      </w:pPr>
      <w:r w:rsidRPr="00217FE0">
        <w:rPr>
          <w:lang w:val="en-US"/>
        </w:rPr>
        <w:t>RMB</w:t>
      </w:r>
      <w:r w:rsidRPr="00217FE0">
        <w:rPr>
          <w:lang w:val="en-US"/>
        </w:rPr>
        <w:tab/>
      </w:r>
      <w:r w:rsidRPr="00217FE0">
        <w:rPr>
          <w:lang w:val="en-US"/>
        </w:rPr>
        <w:tab/>
        <w:t xml:space="preserve">Renminbi </w:t>
      </w:r>
    </w:p>
    <w:p w:rsidR="000F58FF" w:rsidRPr="00217FE0" w:rsidRDefault="000F58FF" w:rsidP="000F58FF">
      <w:pPr>
        <w:pStyle w:val="ListParagraph"/>
        <w:spacing w:line="360" w:lineRule="auto"/>
        <w:ind w:left="284"/>
        <w:rPr>
          <w:lang w:val="en-US"/>
        </w:rPr>
      </w:pPr>
      <w:r w:rsidRPr="00217FE0">
        <w:rPr>
          <w:lang w:val="en-US"/>
        </w:rPr>
        <w:t>SDR</w:t>
      </w:r>
      <w:r w:rsidRPr="00217FE0">
        <w:rPr>
          <w:lang w:val="en-US"/>
        </w:rPr>
        <w:tab/>
      </w:r>
      <w:r w:rsidRPr="00217FE0">
        <w:rPr>
          <w:lang w:val="en-US"/>
        </w:rPr>
        <w:tab/>
      </w:r>
      <w:r w:rsidRPr="00217FE0">
        <w:rPr>
          <w:lang w:val="en-US"/>
        </w:rPr>
        <w:tab/>
        <w:t xml:space="preserve">Special Drawing Rights </w:t>
      </w:r>
    </w:p>
    <w:p w:rsidR="000F58FF" w:rsidRPr="00217FE0" w:rsidRDefault="000F58FF" w:rsidP="000F58FF">
      <w:pPr>
        <w:pStyle w:val="ListParagraph"/>
        <w:spacing w:line="360" w:lineRule="auto"/>
        <w:ind w:left="284"/>
        <w:rPr>
          <w:lang w:val="en-US"/>
        </w:rPr>
      </w:pPr>
      <w:r w:rsidRPr="00217FE0">
        <w:rPr>
          <w:lang w:val="en-US"/>
        </w:rPr>
        <w:t>USA</w:t>
      </w:r>
      <w:r w:rsidRPr="00217FE0">
        <w:rPr>
          <w:lang w:val="en-US"/>
        </w:rPr>
        <w:tab/>
      </w:r>
      <w:r w:rsidRPr="00217FE0">
        <w:rPr>
          <w:lang w:val="en-US"/>
        </w:rPr>
        <w:tab/>
      </w:r>
      <w:r w:rsidRPr="00217FE0">
        <w:rPr>
          <w:lang w:val="en-US"/>
        </w:rPr>
        <w:tab/>
        <w:t>United States of America</w:t>
      </w:r>
    </w:p>
    <w:p w:rsidR="000F58FF" w:rsidRPr="00217FE0" w:rsidRDefault="000F58FF" w:rsidP="000F58FF">
      <w:pPr>
        <w:pStyle w:val="ListParagraph"/>
        <w:spacing w:line="360" w:lineRule="auto"/>
        <w:ind w:left="284"/>
        <w:rPr>
          <w:lang w:val="en-US"/>
        </w:rPr>
      </w:pPr>
      <w:r w:rsidRPr="00217FE0">
        <w:rPr>
          <w:lang w:val="en-US"/>
        </w:rPr>
        <w:t>USD</w:t>
      </w:r>
      <w:r w:rsidRPr="00217FE0">
        <w:rPr>
          <w:lang w:val="en-US"/>
        </w:rPr>
        <w:tab/>
      </w:r>
      <w:r w:rsidRPr="00217FE0">
        <w:rPr>
          <w:lang w:val="en-US"/>
        </w:rPr>
        <w:tab/>
      </w:r>
      <w:r w:rsidRPr="00217FE0">
        <w:rPr>
          <w:lang w:val="en-US"/>
        </w:rPr>
        <w:tab/>
        <w:t>US-Dollar</w:t>
      </w: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6A1671" w:rsidRDefault="006A1671" w:rsidP="000F58FF">
      <w:pPr>
        <w:pStyle w:val="ListParagraph"/>
        <w:spacing w:before="120" w:after="0"/>
        <w:ind w:left="4394"/>
        <w:jc w:val="both"/>
        <w:rPr>
          <w:rFonts w:ascii="Times New Roman" w:hAnsi="Times New Roman" w:cs="Times New Roman"/>
          <w:i/>
          <w:color w:val="000000"/>
        </w:rPr>
      </w:pPr>
    </w:p>
    <w:p w:rsidR="000F58FF" w:rsidRDefault="000F58FF" w:rsidP="000F58FF">
      <w:pPr>
        <w:pStyle w:val="ListParagraph"/>
        <w:spacing w:before="120" w:after="0"/>
        <w:ind w:left="4394"/>
        <w:jc w:val="both"/>
        <w:rPr>
          <w:rFonts w:ascii="Times New Roman" w:hAnsi="Times New Roman" w:cs="Times New Roman"/>
          <w:i/>
          <w:color w:val="000000"/>
        </w:rPr>
      </w:pPr>
      <w:r w:rsidRPr="009F3123">
        <w:rPr>
          <w:rFonts w:ascii="Times New Roman" w:hAnsi="Times New Roman" w:cs="Times New Roman"/>
          <w:i/>
          <w:color w:val="000000"/>
        </w:rPr>
        <w:t xml:space="preserve">,,Die Welt von heute ist das Produkt eines veralteten Denkens. Die Probleme, die sich daraus ergeben, können nicht mit derselben Denkweise gelöst werden, </w:t>
      </w:r>
      <w:r>
        <w:rPr>
          <w:rFonts w:ascii="Times New Roman" w:hAnsi="Times New Roman" w:cs="Times New Roman"/>
          <w:i/>
          <w:color w:val="000000"/>
        </w:rPr>
        <w:t xml:space="preserve">durch die sie entstanden sind." </w:t>
      </w:r>
    </w:p>
    <w:p w:rsidR="000F58FF" w:rsidRPr="00403615" w:rsidRDefault="000F58FF" w:rsidP="000F58FF">
      <w:pPr>
        <w:pStyle w:val="ListParagraph"/>
        <w:spacing w:before="120" w:after="0"/>
        <w:ind w:left="4394"/>
        <w:jc w:val="both"/>
        <w:rPr>
          <w:rFonts w:ascii="Times New Roman" w:hAnsi="Times New Roman" w:cs="Times New Roman"/>
          <w:i/>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i/>
          <w:color w:val="000000"/>
        </w:rPr>
        <w:t>- Albert Einstein -</w:t>
      </w:r>
    </w:p>
    <w:p w:rsidR="000F58FF" w:rsidRPr="006975D2" w:rsidRDefault="000F58FF" w:rsidP="006975D2">
      <w:pPr>
        <w:pStyle w:val="Heading1"/>
      </w:pPr>
      <w:bookmarkStart w:id="1" w:name="_Toc156647773"/>
      <w:bookmarkStart w:id="2" w:name="_Toc156648399"/>
      <w:r w:rsidRPr="006975D2">
        <w:t>Einleitung</w:t>
      </w:r>
      <w:bookmarkEnd w:id="1"/>
      <w:bookmarkEnd w:id="2"/>
    </w:p>
    <w:p w:rsidR="000F58FF" w:rsidRPr="00281B9C" w:rsidRDefault="000F58FF" w:rsidP="000F58FF">
      <w:pPr>
        <w:pStyle w:val="ListParagraph"/>
        <w:spacing w:line="360" w:lineRule="auto"/>
        <w:ind w:left="0"/>
        <w:jc w:val="both"/>
        <w:rPr>
          <w:rFonts w:ascii="Garamond" w:hAnsi="Garamond"/>
        </w:rPr>
      </w:pPr>
      <w:r w:rsidRPr="00281B9C">
        <w:rPr>
          <w:rFonts w:ascii="Garamond" w:hAnsi="Garamond"/>
        </w:rPr>
        <w:t>Die weltwirtschaftlichen Entwicklungen haben seit Ende des Bretton Wo</w:t>
      </w:r>
      <w:r>
        <w:rPr>
          <w:rFonts w:ascii="Garamond" w:hAnsi="Garamond"/>
        </w:rPr>
        <w:t>ods System zahlreiche Währungs-</w:t>
      </w:r>
      <w:r w:rsidRPr="00281B9C">
        <w:rPr>
          <w:rFonts w:ascii="Garamond" w:hAnsi="Garamond"/>
        </w:rPr>
        <w:t xml:space="preserve"> und Wirtschaftskrisen befördert. Waren es in der Vergang</w:t>
      </w:r>
      <w:r w:rsidR="00351C87">
        <w:rPr>
          <w:rFonts w:ascii="Garamond" w:hAnsi="Garamond"/>
        </w:rPr>
        <w:t>en</w:t>
      </w:r>
      <w:r w:rsidRPr="00281B9C">
        <w:rPr>
          <w:rFonts w:ascii="Garamond" w:hAnsi="Garamond"/>
        </w:rPr>
        <w:t xml:space="preserve">heit fast ausschließlich Schwellenländer der </w:t>
      </w:r>
      <w:r w:rsidR="00351C87" w:rsidRPr="00281B9C">
        <w:rPr>
          <w:rFonts w:ascii="Garamond" w:hAnsi="Garamond"/>
        </w:rPr>
        <w:t>Peripherie</w:t>
      </w:r>
      <w:r w:rsidRPr="00281B9C">
        <w:rPr>
          <w:rFonts w:ascii="Garamond" w:hAnsi="Garamond"/>
        </w:rPr>
        <w:t xml:space="preserve">, welche unter den Folgen von Währungskrisen zu kämpfen hatten, so sind mit der aktuellen Wirtschafts- und Finanzkrise die grundlegenden Risiken und Instabilitäten der aktuellen Währungsordnung ins Zentrum der Weltwirtschaft gerückt.  </w:t>
      </w:r>
    </w:p>
    <w:p w:rsidR="000F58FF" w:rsidRPr="00281B9C" w:rsidRDefault="000F58FF" w:rsidP="000F58FF">
      <w:pPr>
        <w:pStyle w:val="ListParagraph"/>
        <w:spacing w:line="360" w:lineRule="auto"/>
        <w:ind w:left="0"/>
        <w:jc w:val="both"/>
        <w:rPr>
          <w:rFonts w:ascii="Garamond" w:hAnsi="Garamond"/>
        </w:rPr>
      </w:pPr>
      <w:r w:rsidRPr="00281B9C">
        <w:rPr>
          <w:rFonts w:ascii="Garamond" w:hAnsi="Garamond"/>
        </w:rPr>
        <w:t xml:space="preserve">In diesem </w:t>
      </w:r>
      <w:r>
        <w:rPr>
          <w:rFonts w:ascii="Garamond" w:hAnsi="Garamond"/>
        </w:rPr>
        <w:t>Impulsp</w:t>
      </w:r>
      <w:r w:rsidRPr="00281B9C">
        <w:rPr>
          <w:rFonts w:ascii="Garamond" w:hAnsi="Garamond"/>
        </w:rPr>
        <w:t>apier soll auf zwei bedenkliche Entwicklungen in der aktuellen Währungsordnung einge</w:t>
      </w:r>
      <w:r w:rsidR="004759CC">
        <w:rPr>
          <w:rFonts w:ascii="Garamond" w:hAnsi="Garamond"/>
        </w:rPr>
        <w:t>gangen werden. Mit dem Abbau der</w:t>
      </w:r>
      <w:r w:rsidRPr="00281B9C">
        <w:rPr>
          <w:rFonts w:ascii="Garamond" w:hAnsi="Garamond"/>
        </w:rPr>
        <w:t xml:space="preserve"> Kapitalkontrollen seit</w:t>
      </w:r>
      <w:r w:rsidR="004759CC">
        <w:rPr>
          <w:rFonts w:ascii="Garamond" w:hAnsi="Garamond"/>
        </w:rPr>
        <w:t xml:space="preserve"> dem Ende des Bretton-Woods-</w:t>
      </w:r>
      <w:r w:rsidRPr="00281B9C">
        <w:rPr>
          <w:rFonts w:ascii="Garamond" w:hAnsi="Garamond"/>
        </w:rPr>
        <w:t xml:space="preserve">Währungssystems ist das Ausmaß und die </w:t>
      </w:r>
      <w:r w:rsidR="00351C87" w:rsidRPr="00281B9C">
        <w:rPr>
          <w:rFonts w:ascii="Garamond" w:hAnsi="Garamond"/>
        </w:rPr>
        <w:t>Volatilität</w:t>
      </w:r>
      <w:r w:rsidRPr="00281B9C">
        <w:rPr>
          <w:rFonts w:ascii="Garamond" w:hAnsi="Garamond"/>
        </w:rPr>
        <w:t xml:space="preserve"> internationaler Kapi</w:t>
      </w:r>
      <w:r w:rsidR="00351C87">
        <w:rPr>
          <w:rFonts w:ascii="Garamond" w:hAnsi="Garamond"/>
        </w:rPr>
        <w:t>talflüsse zu einem fortwährenden</w:t>
      </w:r>
      <w:r w:rsidRPr="00281B9C">
        <w:rPr>
          <w:rFonts w:ascii="Garamond" w:hAnsi="Garamond"/>
        </w:rPr>
        <w:t xml:space="preserve"> Risiko für die Währungsstabil</w:t>
      </w:r>
      <w:r w:rsidR="00351C87">
        <w:rPr>
          <w:rFonts w:ascii="Garamond" w:hAnsi="Garamond"/>
        </w:rPr>
        <w:t>i</w:t>
      </w:r>
      <w:r w:rsidRPr="00281B9C">
        <w:rPr>
          <w:rFonts w:ascii="Garamond" w:hAnsi="Garamond"/>
        </w:rPr>
        <w:t>tät von Schwellenländer</w:t>
      </w:r>
      <w:r w:rsidR="00351C87">
        <w:rPr>
          <w:rFonts w:ascii="Garamond" w:hAnsi="Garamond"/>
        </w:rPr>
        <w:t>n geworden</w:t>
      </w:r>
      <w:r w:rsidRPr="00281B9C">
        <w:rPr>
          <w:rFonts w:ascii="Garamond" w:hAnsi="Garamond"/>
        </w:rPr>
        <w:t>. Dies befördert die Akkumulation von Währungsr</w:t>
      </w:r>
      <w:r w:rsidR="00351C87">
        <w:rPr>
          <w:rFonts w:ascii="Garamond" w:hAnsi="Garamond"/>
        </w:rPr>
        <w:t>eserven – insbesondere USD</w:t>
      </w:r>
      <w:r w:rsidRPr="00281B9C">
        <w:rPr>
          <w:rFonts w:ascii="Garamond" w:hAnsi="Garamond"/>
        </w:rPr>
        <w:t xml:space="preserve"> –  zur Absicherung vor Kapitalflucht. Es stellt sich auch grundsätzlich die Frage, in wieweit es erstrebenswert ist</w:t>
      </w:r>
      <w:r>
        <w:rPr>
          <w:rFonts w:ascii="Garamond" w:hAnsi="Garamond"/>
        </w:rPr>
        <w:t>,</w:t>
      </w:r>
      <w:r w:rsidRPr="00281B9C">
        <w:rPr>
          <w:rFonts w:ascii="Garamond" w:hAnsi="Garamond"/>
        </w:rPr>
        <w:t xml:space="preserve"> das internationale Währungsordnung mit einer </w:t>
      </w:r>
      <w:r>
        <w:rPr>
          <w:rFonts w:ascii="Garamond" w:hAnsi="Garamond"/>
        </w:rPr>
        <w:t xml:space="preserve">einzigen Währung zu verankern. Einleitend soll zunächst auf die Entstehung von globalen Ungleichgewichten eingegangen werden um dann im nächsten Schritt auf Lösungsansätze innerhalb der bestehenden Währungsarchitektur mit USD-Verankerung einzugehen. In Punkt drei werden Vorschläge für neue globale Währungsordnungen mit einer Aufhebung der USD-Verankerung vorgestellt. </w:t>
      </w:r>
    </w:p>
    <w:p w:rsidR="000F58FF" w:rsidRPr="006975D2" w:rsidRDefault="000F58FF" w:rsidP="006975D2">
      <w:pPr>
        <w:pStyle w:val="Heading2"/>
      </w:pPr>
      <w:bookmarkStart w:id="3" w:name="_Toc156647774"/>
      <w:bookmarkStart w:id="4" w:name="_Toc156648400"/>
      <w:r w:rsidRPr="006975D2">
        <w:t>Der USD als Weltreservewährung</w:t>
      </w:r>
      <w:bookmarkEnd w:id="3"/>
      <w:bookmarkEnd w:id="4"/>
    </w:p>
    <w:p w:rsidR="000F58FF" w:rsidRPr="00281B9C" w:rsidRDefault="000F58FF" w:rsidP="000F58FF">
      <w:pPr>
        <w:pStyle w:val="ListParagraph"/>
        <w:spacing w:line="360" w:lineRule="auto"/>
        <w:ind w:left="0"/>
        <w:jc w:val="both"/>
        <w:rPr>
          <w:rFonts w:ascii="Garamond" w:hAnsi="Garamond"/>
        </w:rPr>
      </w:pPr>
      <w:r w:rsidRPr="00281B9C">
        <w:rPr>
          <w:rFonts w:ascii="Garamond" w:hAnsi="Garamond"/>
        </w:rPr>
        <w:t xml:space="preserve">Die Rolle des US Dollars als weltweit führende Reservewährung ist grundlegend für das Aufkommen sogenannter  „globaler Ungleichgewichte“. Die Determinanten, die zu diesem Status geführt haben, sind die relative Größe der amerikanischen Volkswirtschaft, die Liquidität und Tiefe der amerikanischen Finanzmärkte, sowie das Vertrauen und die Zuversicht in die Stabilität des Dollars. </w:t>
      </w:r>
      <w:r w:rsidR="00351C87" w:rsidRPr="00281B9C">
        <w:rPr>
          <w:rFonts w:ascii="Garamond" w:hAnsi="Garamond"/>
        </w:rPr>
        <w:t>Ausschlaggebend</w:t>
      </w:r>
      <w:r w:rsidRPr="00281B9C">
        <w:rPr>
          <w:rFonts w:ascii="Garamond" w:hAnsi="Garamond"/>
        </w:rPr>
        <w:t xml:space="preserve"> sind </w:t>
      </w:r>
      <w:r w:rsidR="00351C87" w:rsidRPr="00281B9C">
        <w:rPr>
          <w:rFonts w:ascii="Garamond" w:hAnsi="Garamond"/>
        </w:rPr>
        <w:t>des Weiteren</w:t>
      </w:r>
      <w:r w:rsidRPr="00281B9C">
        <w:rPr>
          <w:rFonts w:ascii="Garamond" w:hAnsi="Garamond"/>
        </w:rPr>
        <w:t xml:space="preserve"> Netzwerkeffekte im internationalen Zahlungsverkehr und die Denominierung von Ressourcen wie etwa Öl in Dollar.</w:t>
      </w:r>
      <w:r>
        <w:rPr>
          <w:rStyle w:val="FootnoteReference"/>
          <w:rFonts w:ascii="Garamond" w:hAnsi="Garamond"/>
        </w:rPr>
        <w:footnoteReference w:id="1"/>
      </w:r>
    </w:p>
    <w:p w:rsidR="000F58FF" w:rsidRPr="006975D2" w:rsidRDefault="000F58FF" w:rsidP="006975D2">
      <w:pPr>
        <w:pStyle w:val="Heading2"/>
      </w:pPr>
      <w:bookmarkStart w:id="5" w:name="_Toc156647775"/>
      <w:bookmarkStart w:id="6" w:name="_Toc156648401"/>
      <w:r w:rsidRPr="006975D2">
        <w:t>Die globale Ersparnisschwemme</w:t>
      </w:r>
      <w:bookmarkEnd w:id="5"/>
      <w:bookmarkEnd w:id="6"/>
    </w:p>
    <w:p w:rsidR="000F58FF" w:rsidRPr="00281B9C" w:rsidRDefault="000F58FF" w:rsidP="000F58FF">
      <w:pPr>
        <w:pStyle w:val="ListParagraph"/>
        <w:spacing w:line="360" w:lineRule="auto"/>
        <w:ind w:left="0"/>
        <w:jc w:val="both"/>
        <w:rPr>
          <w:rFonts w:ascii="Garamond" w:hAnsi="Garamond"/>
        </w:rPr>
      </w:pPr>
      <w:r w:rsidRPr="00281B9C">
        <w:rPr>
          <w:rFonts w:ascii="Garamond" w:hAnsi="Garamond"/>
        </w:rPr>
        <w:t>Nach der Ansicht der im Jahr 2005 von Ben Bernanke geäußerten Ansicht ist der wichtigste Faktor für die globalen Ungleichgewichte eine sogenannte "globale Ersparnisschwemme". Entwickelte Volkswirtschaften wie Deutschland und Japan haben eine</w:t>
      </w:r>
      <w:r w:rsidR="00351C87">
        <w:rPr>
          <w:rFonts w:ascii="Garamond" w:hAnsi="Garamond"/>
        </w:rPr>
        <w:t>n</w:t>
      </w:r>
      <w:r w:rsidRPr="00281B9C">
        <w:rPr>
          <w:rFonts w:ascii="Garamond" w:hAnsi="Garamond"/>
        </w:rPr>
        <w:t xml:space="preserve"> prognostizierte</w:t>
      </w:r>
      <w:r w:rsidR="00351C87">
        <w:rPr>
          <w:rFonts w:ascii="Garamond" w:hAnsi="Garamond"/>
        </w:rPr>
        <w:t>n</w:t>
      </w:r>
      <w:r w:rsidRPr="00281B9C">
        <w:rPr>
          <w:rFonts w:ascii="Garamond" w:hAnsi="Garamond"/>
        </w:rPr>
        <w:t xml:space="preserve"> Rückgang ihrer demographischen Entwicklung, die zu einem höheren Verhältnis von Kapital zu Arbeit und folglich zu geringeren Renditen für Investitionen führt. Dies ist mit einer größeren Notwendigkeit die Sparquote in Bezug auf die Altersvorsorge zu erhöhen. Schwellenländer haben zur Abwendung potentieller Währungskrisen große Devisenreserven </w:t>
      </w:r>
      <w:r w:rsidR="00351C87" w:rsidRPr="00281B9C">
        <w:rPr>
          <w:rFonts w:ascii="Garamond" w:hAnsi="Garamond"/>
        </w:rPr>
        <w:t>akkumuliert</w:t>
      </w:r>
      <w:r w:rsidR="00351C87">
        <w:rPr>
          <w:rFonts w:ascii="Garamond" w:hAnsi="Garamond"/>
        </w:rPr>
        <w:t xml:space="preserve"> </w:t>
      </w:r>
      <w:r w:rsidRPr="00281B9C">
        <w:rPr>
          <w:rFonts w:ascii="Garamond" w:hAnsi="Garamond"/>
        </w:rPr>
        <w:t>um eine Wiederkehr der schmerzlichen Erfahrungen der Asienkrise zu vermeiden. Diese Devisenreservenakkumulation zur Absicherung gegen Währungskrisen geht einher mit einer exportorientierten Wachstumspolitik in der die Aufwertung von</w:t>
      </w:r>
      <w:r>
        <w:rPr>
          <w:rFonts w:ascii="Garamond" w:hAnsi="Garamond"/>
        </w:rPr>
        <w:t xml:space="preserve"> </w:t>
      </w:r>
      <w:r w:rsidRPr="00281B9C">
        <w:rPr>
          <w:rFonts w:ascii="Garamond" w:hAnsi="Garamond"/>
        </w:rPr>
        <w:t>Währung</w:t>
      </w:r>
      <w:r>
        <w:rPr>
          <w:rFonts w:ascii="Garamond" w:hAnsi="Garamond"/>
        </w:rPr>
        <w:t>en unterbunden wird. Ein weiter</w:t>
      </w:r>
      <w:r w:rsidR="00351C87">
        <w:rPr>
          <w:rFonts w:ascii="Garamond" w:hAnsi="Garamond"/>
        </w:rPr>
        <w:t xml:space="preserve">er </w:t>
      </w:r>
      <w:r w:rsidRPr="00281B9C">
        <w:rPr>
          <w:rFonts w:ascii="Garamond" w:hAnsi="Garamond"/>
        </w:rPr>
        <w:t>Faktor, der zur Ausweitung globaler Ungleichgewi</w:t>
      </w:r>
      <w:r w:rsidR="00351C87">
        <w:rPr>
          <w:rFonts w:ascii="Garamond" w:hAnsi="Garamond"/>
        </w:rPr>
        <w:t xml:space="preserve">chte beiträgt, </w:t>
      </w:r>
      <w:r w:rsidRPr="00281B9C">
        <w:rPr>
          <w:rFonts w:ascii="Garamond" w:hAnsi="Garamond"/>
        </w:rPr>
        <w:t xml:space="preserve">ist der in den letzten Jahren ansteigende Ölpreis. Diese Strategien und Entwicklungen führen zu einem großen Anstieg in den Leistungsbilanzüberschüssen in den Volkswirtschaften Asiens und des Nahen Ostens und </w:t>
      </w:r>
      <w:r>
        <w:rPr>
          <w:rFonts w:ascii="Garamond" w:hAnsi="Garamond"/>
        </w:rPr>
        <w:t>zu dem</w:t>
      </w:r>
      <w:r w:rsidRPr="00281B9C">
        <w:rPr>
          <w:rFonts w:ascii="Garamond" w:hAnsi="Garamond"/>
        </w:rPr>
        <w:t xml:space="preserve"> hohe</w:t>
      </w:r>
      <w:r>
        <w:rPr>
          <w:rFonts w:ascii="Garamond" w:hAnsi="Garamond"/>
        </w:rPr>
        <w:t>n</w:t>
      </w:r>
      <w:r w:rsidRPr="00281B9C">
        <w:rPr>
          <w:rFonts w:ascii="Garamond" w:hAnsi="Garamond"/>
        </w:rPr>
        <w:t xml:space="preserve"> Leistungsbilanzdefizit in den USA – eine Situation, welche Bernanke als stabil und tragbar erachtet. Laut Bernanke drangen diese überschüssige</w:t>
      </w:r>
      <w:r w:rsidR="00351C87">
        <w:rPr>
          <w:rFonts w:ascii="Garamond" w:hAnsi="Garamond"/>
        </w:rPr>
        <w:t>n</w:t>
      </w:r>
      <w:r w:rsidRPr="00281B9C">
        <w:rPr>
          <w:rFonts w:ascii="Garamond" w:hAnsi="Garamond"/>
        </w:rPr>
        <w:t xml:space="preserve"> globalen Ersparni</w:t>
      </w:r>
      <w:r w:rsidR="00351C87">
        <w:rPr>
          <w:rFonts w:ascii="Garamond" w:hAnsi="Garamond"/>
        </w:rPr>
        <w:t>s</w:t>
      </w:r>
      <w:r w:rsidRPr="00281B9C">
        <w:rPr>
          <w:rFonts w:ascii="Garamond" w:hAnsi="Garamond"/>
        </w:rPr>
        <w:t>s</w:t>
      </w:r>
      <w:r w:rsidR="00351C87">
        <w:rPr>
          <w:rFonts w:ascii="Garamond" w:hAnsi="Garamond"/>
        </w:rPr>
        <w:t>e</w:t>
      </w:r>
      <w:r w:rsidRPr="00281B9C">
        <w:rPr>
          <w:rFonts w:ascii="Garamond" w:hAnsi="Garamond"/>
        </w:rPr>
        <w:t xml:space="preserve"> auf der Suche nach den höchsten Renditen in das US-Finanzsystem, welches nach Ansicht von Bernanke aufgrund seiner Effizienz dieses Kapital in produktive Investitionen kanalisieren würde.</w:t>
      </w:r>
      <w:r w:rsidRPr="00351C87">
        <w:rPr>
          <w:rStyle w:val="FootnoteReference"/>
        </w:rPr>
        <w:footnoteReference w:id="2"/>
      </w:r>
      <w:r w:rsidRPr="00281B9C">
        <w:rPr>
          <w:rFonts w:ascii="Garamond" w:hAnsi="Garamond"/>
        </w:rPr>
        <w:t xml:space="preserve"> Tatsächlich stellte sich heraus, dass diese Kapitalströme in die USA die Immobilienblase finanzierten. Nach Obstfeld ist es falsch wie Bernanke nicht zwischen öffentlichen und privaten Kapitalströmen in die Vereinigten Staaten zu unterscheiden. Der</w:t>
      </w:r>
      <w:r w:rsidR="00351C87">
        <w:rPr>
          <w:rFonts w:ascii="Garamond" w:hAnsi="Garamond"/>
        </w:rPr>
        <w:t xml:space="preserve"> Großteil der Kapitalströme kam</w:t>
      </w:r>
      <w:r w:rsidRPr="00281B9C">
        <w:rPr>
          <w:rFonts w:ascii="Garamond" w:hAnsi="Garamond"/>
        </w:rPr>
        <w:t xml:space="preserve"> aus öffentlichen oder halböffentlichen Ins</w:t>
      </w:r>
      <w:r w:rsidR="00351C87">
        <w:rPr>
          <w:rFonts w:ascii="Garamond" w:hAnsi="Garamond"/>
        </w:rPr>
        <w:t>titutionen, denen eher eine geo</w:t>
      </w:r>
      <w:r w:rsidRPr="00281B9C">
        <w:rPr>
          <w:rFonts w:ascii="Garamond" w:hAnsi="Garamond"/>
        </w:rPr>
        <w:t xml:space="preserve">politische Motivation als eine Renditemaximierung unterstellt werden dürfte. </w:t>
      </w:r>
      <w:r w:rsidRPr="00351C87">
        <w:rPr>
          <w:rStyle w:val="FootnoteReference"/>
        </w:rPr>
        <w:footnoteReference w:id="3"/>
      </w:r>
    </w:p>
    <w:p w:rsidR="000F58FF" w:rsidRDefault="000F58FF" w:rsidP="000F58FF">
      <w:pPr>
        <w:pStyle w:val="ListParagraph"/>
        <w:spacing w:line="360" w:lineRule="auto"/>
        <w:ind w:left="0"/>
        <w:jc w:val="both"/>
        <w:rPr>
          <w:rFonts w:ascii="Garamond" w:hAnsi="Garamond"/>
        </w:rPr>
      </w:pPr>
      <w:r w:rsidRPr="00281B9C">
        <w:rPr>
          <w:rFonts w:ascii="Garamond" w:hAnsi="Garamond"/>
        </w:rPr>
        <w:t>Zwar sind auch für Obstfeld die globalen Ungleichgewichte ein wesentlicher Faktor zur Entstehung der Finanzkrise. Doch im Gegensatz zu Bernanke glaubt er, dass sie nur eine sekundäre Rolle bei der Schaffung des niedrigen Zinsniveaus gespielt haben. Obstfeld hält die expansive Geldpolitik der FED als treibende Kraft hinter zu einer Wertsteigerung der Immobilienpreise, die als Ausgangspunkt der Immobilienblase zu sehen war. Analog dazu ist wohl die expansive Geldpolitik in der Eurozone für Deutschland angemessen gewesen, jedoch nicht für die boomenden Volkswirtschaften in Spanien und Irland, in denen sich ebenfalls Immobilienblasen entwickelten.</w:t>
      </w:r>
      <w:r>
        <w:rPr>
          <w:rFonts w:ascii="Garamond" w:hAnsi="Garamond"/>
        </w:rPr>
        <w:t xml:space="preserve"> </w:t>
      </w:r>
    </w:p>
    <w:p w:rsidR="000F58FF" w:rsidRPr="00281B9C" w:rsidRDefault="000F58FF" w:rsidP="000F58FF">
      <w:pPr>
        <w:pStyle w:val="ListParagraph"/>
        <w:spacing w:line="360" w:lineRule="auto"/>
        <w:ind w:left="0"/>
        <w:jc w:val="both"/>
        <w:rPr>
          <w:rFonts w:ascii="Garamond" w:hAnsi="Garamond"/>
        </w:rPr>
      </w:pPr>
      <w:r>
        <w:rPr>
          <w:rFonts w:ascii="Garamond" w:hAnsi="Garamond"/>
        </w:rPr>
        <w:t xml:space="preserve">Die Diskussion zeigt, dass verschiedene wirtschaftspolitische Maßnahmen international koordiniert werden müssen wie etwa die Reduktion der USD-Nachfrage der öffentlichen Akteure und Koordinierung der Geld- und Wechselkurspolitik, um globale Ungleichgewichte einzudämmen.  </w:t>
      </w:r>
    </w:p>
    <w:p w:rsidR="000F58FF" w:rsidRPr="006975D2" w:rsidRDefault="000F58FF" w:rsidP="006975D2">
      <w:pPr>
        <w:pStyle w:val="Heading2"/>
      </w:pPr>
      <w:bookmarkStart w:id="7" w:name="_Toc156647776"/>
      <w:bookmarkStart w:id="8" w:name="_Toc156648402"/>
      <w:r w:rsidRPr="006975D2">
        <w:t>Der amerikanische Haushalt und die Neuauflage des Triffin-Dilemmas</w:t>
      </w:r>
      <w:bookmarkEnd w:id="7"/>
      <w:bookmarkEnd w:id="8"/>
    </w:p>
    <w:p w:rsidR="000F58FF" w:rsidRPr="00281B9C" w:rsidRDefault="000F58FF" w:rsidP="000F58FF">
      <w:pPr>
        <w:pStyle w:val="ListParagraph"/>
        <w:spacing w:line="360" w:lineRule="auto"/>
        <w:ind w:left="0"/>
        <w:jc w:val="both"/>
        <w:rPr>
          <w:rFonts w:ascii="Garamond" w:hAnsi="Garamond"/>
        </w:rPr>
      </w:pPr>
      <w:r w:rsidRPr="00281B9C">
        <w:rPr>
          <w:rFonts w:ascii="Garamond" w:hAnsi="Garamond"/>
        </w:rPr>
        <w:t xml:space="preserve">Als Konsequenz dieser Ersparnisschwemme kommt es zu erheblichen Kapitalimporten und deshalb zu einem substantiellen Absenken der kurz- und langfristigen </w:t>
      </w:r>
      <w:r>
        <w:rPr>
          <w:rFonts w:ascii="Garamond" w:hAnsi="Garamond"/>
        </w:rPr>
        <w:t xml:space="preserve">Kapitalmarktzinsen in den USA. </w:t>
      </w:r>
      <w:r w:rsidRPr="00281B9C">
        <w:rPr>
          <w:rFonts w:ascii="Garamond" w:hAnsi="Garamond"/>
        </w:rPr>
        <w:t xml:space="preserve">Durch diese Sonderstellung des </w:t>
      </w:r>
      <w:r>
        <w:rPr>
          <w:rFonts w:ascii="Garamond" w:hAnsi="Garamond"/>
        </w:rPr>
        <w:t>USD</w:t>
      </w:r>
      <w:r w:rsidRPr="00281B9C">
        <w:rPr>
          <w:rFonts w:ascii="Garamond" w:hAnsi="Garamond"/>
        </w:rPr>
        <w:t xml:space="preserve"> wurden den USA bei der Ausweitung ihres Haushaltsdefizits keine höheren Risikoprämien und damit ein Anreiz zur Reduktion desgleichen auferlegt. </w:t>
      </w:r>
      <w:r>
        <w:rPr>
          <w:rFonts w:ascii="Garamond" w:hAnsi="Garamond"/>
        </w:rPr>
        <w:t>Die Folge ist ein schwacher</w:t>
      </w:r>
      <w:r w:rsidRPr="00281B9C">
        <w:rPr>
          <w:rFonts w:ascii="Garamond" w:hAnsi="Garamond"/>
        </w:rPr>
        <w:t xml:space="preserve"> Druck auf den amerikanischen Fiskus </w:t>
      </w:r>
      <w:r>
        <w:rPr>
          <w:rFonts w:ascii="Garamond" w:hAnsi="Garamond"/>
        </w:rPr>
        <w:t>sein</w:t>
      </w:r>
      <w:r w:rsidRPr="00281B9C">
        <w:rPr>
          <w:rFonts w:ascii="Garamond" w:hAnsi="Garamond"/>
        </w:rPr>
        <w:t xml:space="preserve"> Haushaltsdefizit in guten konjunkturellen Zeiten abzubauen. Der Zinsmechanismus, der jeden „gewöhnlichen“ Staat bei steigenden Haushaltsdefiziten zur Konsolidierung zwingen würde, ist bei den USA aufgrund des Status des </w:t>
      </w:r>
      <w:r>
        <w:rPr>
          <w:rFonts w:ascii="Garamond" w:hAnsi="Garamond"/>
        </w:rPr>
        <w:t>USD</w:t>
      </w:r>
      <w:r w:rsidRPr="00281B9C">
        <w:rPr>
          <w:rFonts w:ascii="Garamond" w:hAnsi="Garamond"/>
        </w:rPr>
        <w:t xml:space="preserve"> als Weltreservewährung ausgehebelt. In der Folge der Finanzm</w:t>
      </w:r>
      <w:r w:rsidR="004759CC">
        <w:rPr>
          <w:rFonts w:ascii="Garamond" w:hAnsi="Garamond"/>
        </w:rPr>
        <w:t>arktkrise sind die zu entricht</w:t>
      </w:r>
      <w:r w:rsidRPr="00281B9C">
        <w:rPr>
          <w:rFonts w:ascii="Garamond" w:hAnsi="Garamond"/>
        </w:rPr>
        <w:t xml:space="preserve">enden Zinsen auf amerikanische Staatsanleihen sogar gesunken. </w:t>
      </w:r>
    </w:p>
    <w:p w:rsidR="000F58FF" w:rsidRPr="00281B9C" w:rsidRDefault="000F58FF" w:rsidP="000F58FF">
      <w:pPr>
        <w:pStyle w:val="ListParagraph"/>
        <w:spacing w:line="360" w:lineRule="auto"/>
        <w:ind w:left="0"/>
        <w:jc w:val="both"/>
        <w:rPr>
          <w:rFonts w:ascii="Garamond" w:hAnsi="Garamond"/>
        </w:rPr>
      </w:pPr>
      <w:r w:rsidRPr="00281B9C">
        <w:rPr>
          <w:rFonts w:ascii="Garamond" w:hAnsi="Garamond"/>
        </w:rPr>
        <w:t xml:space="preserve">Ein noch grundlegenderes Problem, das die Dysfunktionalität des gegenwärtigen Währungssystems aufzeigt, ist das sogenannte „Triffin-Dilemma“, das ursprünglich von Triffin für die inhärente Instabilität des Bretton Woods Systems </w:t>
      </w:r>
      <w:r>
        <w:rPr>
          <w:rFonts w:ascii="Garamond" w:hAnsi="Garamond"/>
        </w:rPr>
        <w:t>dargelegt</w:t>
      </w:r>
      <w:r w:rsidRPr="00281B9C">
        <w:rPr>
          <w:rFonts w:ascii="Garamond" w:hAnsi="Garamond"/>
        </w:rPr>
        <w:t xml:space="preserve"> wurde. Das Dilemma stellt sich wie folgt dar: Ist die Währung eines einzelnen Staates gleichzeitig die Weltreservewährung, so wird in dieser Währung eine fortwährende Erhöhung der Liquidität sicherer Anleihen – in aller Regel Staatsanleihen</w:t>
      </w:r>
      <w:r>
        <w:rPr>
          <w:rFonts w:ascii="Garamond" w:hAnsi="Garamond"/>
        </w:rPr>
        <w:t xml:space="preserve"> – </w:t>
      </w:r>
      <w:r w:rsidRPr="00281B9C">
        <w:rPr>
          <w:rFonts w:ascii="Garamond" w:hAnsi="Garamond"/>
        </w:rPr>
        <w:t xml:space="preserve">von Nöten sein, um die kontinuierlich steigende Weltnachfrage hiernach zu befriedigen. Das daraus resultierende bestehende und anwachsende Haushaltsdefizit des Emittenten der Weltreservewährung führt langfristig zu einer Unterminierung der Währungsstabilität, eine Eigenschaft welche wie </w:t>
      </w:r>
      <w:r>
        <w:rPr>
          <w:rFonts w:ascii="Garamond" w:hAnsi="Garamond"/>
        </w:rPr>
        <w:t>in Punkt 1.1</w:t>
      </w:r>
      <w:r w:rsidRPr="00281B9C">
        <w:rPr>
          <w:rFonts w:ascii="Garamond" w:hAnsi="Garamond"/>
        </w:rPr>
        <w:t xml:space="preserve"> erwähnt eine grundlegende Voraussetzung für eine Weltreservewährung darstellt. Somit bleibt die Entwicklung auf lange Sicht nicht tragbar, weil entweder der Emittent nicht willens ist sein Haushaltsdefizit auszuweiten und die nachgefragte Liquidität nicht befriedigt wird. Falls doch die Liquidität bereitgestellt wird, so kommen Zweifel an der Stabil</w:t>
      </w:r>
      <w:r w:rsidR="004759CC">
        <w:rPr>
          <w:rFonts w:ascii="Garamond" w:hAnsi="Garamond"/>
        </w:rPr>
        <w:t>i</w:t>
      </w:r>
      <w:r w:rsidRPr="00281B9C">
        <w:rPr>
          <w:rFonts w:ascii="Garamond" w:hAnsi="Garamond"/>
        </w:rPr>
        <w:t>tät der Währung auf und höhere Risikoprämien auf die Staatsanleihen würden eingefordert. In beiden möglichen Fällen droht die gegenwärtige Währungsordnung mit ihrer Dollarverankerung langfristig zu zerbrechen.</w:t>
      </w:r>
    </w:p>
    <w:p w:rsidR="000F58FF" w:rsidRPr="00281B9C" w:rsidRDefault="000F58FF" w:rsidP="000F58FF">
      <w:pPr>
        <w:pStyle w:val="ListParagraph"/>
        <w:spacing w:line="360" w:lineRule="auto"/>
        <w:ind w:left="0"/>
        <w:jc w:val="both"/>
        <w:rPr>
          <w:rStyle w:val="longtext"/>
        </w:rPr>
      </w:pPr>
      <w:r w:rsidRPr="00281B9C">
        <w:rPr>
          <w:rFonts w:ascii="Garamond" w:hAnsi="Garamond"/>
        </w:rPr>
        <w:t>Sollte die gegenwärtige Ordnung mit der Dollarverankerung abgelöst werden und die USA als Konsequenz nicht mehr Staatsanleihen in eigener Währung ausgeben können und die Staatsschuld mit höheren Risikoprämien bedienen müssen, droht ein Staatsbankrott.</w:t>
      </w:r>
    </w:p>
    <w:p w:rsidR="000F58FF" w:rsidRPr="006975D2" w:rsidRDefault="000F58FF" w:rsidP="006975D2">
      <w:pPr>
        <w:pStyle w:val="Heading2"/>
      </w:pPr>
      <w:r>
        <w:t xml:space="preserve"> </w:t>
      </w:r>
      <w:bookmarkStart w:id="9" w:name="_Toc156647777"/>
      <w:bookmarkStart w:id="10" w:name="_Toc156648403"/>
      <w:r w:rsidRPr="006975D2">
        <w:t>Protektionismus, Währungskrieg</w:t>
      </w:r>
      <w:bookmarkEnd w:id="9"/>
      <w:bookmarkEnd w:id="10"/>
    </w:p>
    <w:p w:rsidR="000F58FF" w:rsidRPr="00281B9C" w:rsidRDefault="000F58FF" w:rsidP="000F58FF">
      <w:pPr>
        <w:pStyle w:val="ListParagraph"/>
        <w:spacing w:line="360" w:lineRule="auto"/>
        <w:ind w:left="0"/>
        <w:jc w:val="both"/>
        <w:rPr>
          <w:rFonts w:ascii="Garamond" w:hAnsi="Garamond"/>
        </w:rPr>
      </w:pPr>
      <w:r>
        <w:rPr>
          <w:rFonts w:ascii="Garamond" w:hAnsi="Garamond"/>
        </w:rPr>
        <w:t xml:space="preserve">Ein bestehendes Risiko </w:t>
      </w:r>
      <w:r w:rsidRPr="00281B9C">
        <w:rPr>
          <w:rFonts w:ascii="Garamond" w:hAnsi="Garamond"/>
        </w:rPr>
        <w:t>in der gegenwärtigen Weltwirtschaft</w:t>
      </w:r>
      <w:r>
        <w:rPr>
          <w:rFonts w:ascii="Garamond" w:hAnsi="Garamond"/>
        </w:rPr>
        <w:t>, sollte sich nichts an den bestehenden Gegebenheiten ändern,</w:t>
      </w:r>
      <w:r w:rsidRPr="00281B9C">
        <w:rPr>
          <w:rFonts w:ascii="Garamond" w:hAnsi="Garamond"/>
        </w:rPr>
        <w:t xml:space="preserve"> ist das Aufkommen von protektionistischen Maßnahmen. Nach WTO </w:t>
      </w:r>
      <w:r w:rsidR="004759CC" w:rsidRPr="00281B9C">
        <w:rPr>
          <w:rFonts w:ascii="Garamond" w:hAnsi="Garamond"/>
        </w:rPr>
        <w:t>Richtlinien</w:t>
      </w:r>
      <w:r w:rsidRPr="00281B9C">
        <w:rPr>
          <w:rFonts w:ascii="Garamond" w:hAnsi="Garamond"/>
        </w:rPr>
        <w:t xml:space="preserve"> darf es keine Subventionen des Exportsektors geben. Obwohl diese in den Schwellenländern mit einer Strategie des export-orientierten Wachstums explizit nicht der Fall ist, so gibt es nicht wenige Stimmen, die behaupten eine Manipulation des Wechselkurses kommt dem gleich. Jeder Unterbewertung müssen Überbewertung</w:t>
      </w:r>
      <w:r w:rsidR="004759CC">
        <w:rPr>
          <w:rFonts w:ascii="Garamond" w:hAnsi="Garamond"/>
        </w:rPr>
        <w:t>en</w:t>
      </w:r>
      <w:r w:rsidRPr="00281B9C">
        <w:rPr>
          <w:rFonts w:ascii="Garamond" w:hAnsi="Garamond"/>
        </w:rPr>
        <w:t xml:space="preserve"> anderer Währungen gegenüberstehen. Kommt es zu keiner einvernehmlichen Lö</w:t>
      </w:r>
      <w:r>
        <w:rPr>
          <w:rFonts w:ascii="Garamond" w:hAnsi="Garamond"/>
        </w:rPr>
        <w:t xml:space="preserve">sung </w:t>
      </w:r>
      <w:r w:rsidRPr="00281B9C">
        <w:rPr>
          <w:rFonts w:ascii="Garamond" w:hAnsi="Garamond"/>
        </w:rPr>
        <w:t xml:space="preserve">so könnte es sich abzeichnen, dass bestimmte Staaten auf die implizite „Subvention“ von Staaten, die ihre Währungen managen, Importe aus diesen Ländern mit Strafzöllen belegen könnte. Dies birgt die Gefahr eines Handelskriegs mit fatalen Folgen für die Weltwirtschaft. </w:t>
      </w:r>
      <w:r w:rsidR="004759CC" w:rsidRPr="00281B9C">
        <w:rPr>
          <w:rFonts w:ascii="Garamond" w:hAnsi="Garamond"/>
        </w:rPr>
        <w:t>Des Weiteren</w:t>
      </w:r>
      <w:r w:rsidRPr="00281B9C">
        <w:rPr>
          <w:rFonts w:ascii="Garamond" w:hAnsi="Garamond"/>
        </w:rPr>
        <w:t xml:space="preserve"> besteht die Gefahr, dass viele Staaten versuchen werden einen Abwertungsdruck auf ihre Währungen zu erzeugen, sodass wir uns in einem „race to the bottom“ wiederfinden könnten.</w:t>
      </w:r>
    </w:p>
    <w:p w:rsidR="000F58FF" w:rsidRPr="009C77D4" w:rsidRDefault="000F58FF" w:rsidP="006975D2">
      <w:pPr>
        <w:pStyle w:val="Heading1"/>
      </w:pPr>
      <w:bookmarkStart w:id="11" w:name="_Toc156647778"/>
      <w:bookmarkStart w:id="12" w:name="_Toc156648404"/>
      <w:r w:rsidRPr="00191E82">
        <w:t>Lösungsa</w:t>
      </w:r>
      <w:r>
        <w:t xml:space="preserve">nsätze gegen einzelne Probleme </w:t>
      </w:r>
      <w:r w:rsidRPr="00191E82">
        <w:t>innerhalb der bestehenden Architektur</w:t>
      </w:r>
      <w:bookmarkEnd w:id="11"/>
      <w:bookmarkEnd w:id="12"/>
    </w:p>
    <w:p w:rsidR="000F58FF" w:rsidRPr="00303F11" w:rsidRDefault="000F58FF" w:rsidP="006975D2">
      <w:pPr>
        <w:pStyle w:val="Heading2"/>
        <w:rPr>
          <w:lang w:val="en-US"/>
        </w:rPr>
      </w:pPr>
      <w:bookmarkStart w:id="13" w:name="_Toc156647779"/>
      <w:bookmarkStart w:id="14" w:name="_Toc156648405"/>
      <w:r>
        <w:rPr>
          <w:lang w:val="en-US"/>
        </w:rPr>
        <w:t xml:space="preserve">Der </w:t>
      </w:r>
      <w:r w:rsidRPr="00303F11">
        <w:rPr>
          <w:lang w:val="en-US"/>
        </w:rPr>
        <w:t>Mutual Assessment Process der G</w:t>
      </w:r>
      <w:r>
        <w:rPr>
          <w:lang w:val="en-US"/>
        </w:rPr>
        <w:t>-</w:t>
      </w:r>
      <w:r w:rsidRPr="00303F11">
        <w:rPr>
          <w:lang w:val="en-US"/>
        </w:rPr>
        <w:t>20</w:t>
      </w:r>
      <w:bookmarkEnd w:id="13"/>
      <w:bookmarkEnd w:id="14"/>
    </w:p>
    <w:p w:rsidR="000F58FF" w:rsidRPr="00217FE0" w:rsidRDefault="000F58FF" w:rsidP="000F58FF">
      <w:pPr>
        <w:pStyle w:val="ListParagraph"/>
        <w:spacing w:line="360" w:lineRule="auto"/>
        <w:ind w:left="0"/>
        <w:jc w:val="both"/>
        <w:rPr>
          <w:rFonts w:ascii="Garamond" w:hAnsi="Garamond"/>
        </w:rPr>
      </w:pPr>
      <w:r w:rsidRPr="00064DD2">
        <w:rPr>
          <w:rFonts w:ascii="Garamond" w:hAnsi="Garamond"/>
        </w:rPr>
        <w:t>Während ihres Treffens in Pittsburgh 2009 kamen die Länder der G-20 überein</w:t>
      </w:r>
      <w:r>
        <w:rPr>
          <w:rFonts w:ascii="Garamond" w:hAnsi="Garamond"/>
        </w:rPr>
        <w:t>,</w:t>
      </w:r>
      <w:r w:rsidRPr="00064DD2">
        <w:rPr>
          <w:rFonts w:ascii="Garamond" w:hAnsi="Garamond"/>
        </w:rPr>
        <w:t xml:space="preserve"> gemeinsam für ein starkes, nachhaltiges und ausgewogenes weltwirtschaftliches Wachstum zu sorgen. Um dieses Ziel zu erreichen wurde der "Framework for strong, sustainable, and balanced growth" beschlossen. </w:t>
      </w:r>
      <w:r w:rsidRPr="00281B9C">
        <w:rPr>
          <w:rFonts w:ascii="Garamond" w:hAnsi="Garamond"/>
        </w:rPr>
        <w:t>„</w:t>
      </w:r>
      <w:r>
        <w:rPr>
          <w:rFonts w:ascii="Garamond" w:hAnsi="Garamond"/>
        </w:rPr>
        <w:t>Nachhaltig</w:t>
      </w:r>
      <w:r w:rsidRPr="00281B9C">
        <w:rPr>
          <w:rFonts w:ascii="Garamond" w:hAnsi="Garamond"/>
        </w:rPr>
        <w:t>“</w:t>
      </w:r>
      <w:r>
        <w:rPr>
          <w:rFonts w:ascii="Garamond" w:hAnsi="Garamond"/>
        </w:rPr>
        <w:t xml:space="preserve"> bedeutet</w:t>
      </w:r>
      <w:r w:rsidRPr="00064DD2">
        <w:rPr>
          <w:rFonts w:ascii="Garamond" w:hAnsi="Garamond"/>
        </w:rPr>
        <w:t xml:space="preserve"> in diesem Sinne, dass Wachstum mit soliden öffentlichen Finanzen, finanzieller Stabilität, Preisstabilität sowie mit der Erfüllung von sozialen und ökonomischen Standards einhergehen muss. </w:t>
      </w:r>
      <w:r w:rsidRPr="00281B9C">
        <w:rPr>
          <w:rFonts w:ascii="Garamond" w:hAnsi="Garamond"/>
        </w:rPr>
        <w:t>„</w:t>
      </w:r>
      <w:r w:rsidRPr="00064DD2">
        <w:rPr>
          <w:rFonts w:ascii="Garamond" w:hAnsi="Garamond"/>
        </w:rPr>
        <w:t>Ausgewogen</w:t>
      </w:r>
      <w:r w:rsidRPr="00281B9C">
        <w:rPr>
          <w:rFonts w:ascii="Garamond" w:hAnsi="Garamond"/>
        </w:rPr>
        <w:t>“</w:t>
      </w:r>
      <w:r w:rsidRPr="00064DD2">
        <w:rPr>
          <w:rFonts w:ascii="Garamond" w:hAnsi="Garamond"/>
        </w:rPr>
        <w:t xml:space="preserve"> steht dafür, dass das globale Wachstum von allen G-20-Mitgliedern unterstützt wird. </w:t>
      </w:r>
      <w:r w:rsidRPr="00217FE0">
        <w:rPr>
          <w:rFonts w:ascii="Garamond" w:hAnsi="Garamond"/>
        </w:rPr>
        <w:t>Innerhalb dieses Rahmenwerkes sollen übergeordnete Richtlinien für nationale Politikmaßnahmen in folgenden Bereichen festlegt werden</w:t>
      </w:r>
      <w:r w:rsidRPr="00217FE0">
        <w:rPr>
          <w:rStyle w:val="FootnoteReference"/>
          <w:rFonts w:ascii="Garamond" w:hAnsi="Garamond"/>
        </w:rPr>
        <w:footnoteReference w:id="4"/>
      </w:r>
      <w:r w:rsidRPr="00217FE0">
        <w:rPr>
          <w:rFonts w:ascii="Garamond" w:hAnsi="Garamond"/>
        </w:rPr>
        <w:t xml:space="preserve"> :</w:t>
      </w:r>
    </w:p>
    <w:p w:rsidR="000F58FF" w:rsidRPr="00217FE0" w:rsidRDefault="000F58FF" w:rsidP="000F58FF">
      <w:pPr>
        <w:pStyle w:val="ListParagraph"/>
        <w:numPr>
          <w:ilvl w:val="0"/>
          <w:numId w:val="26"/>
        </w:numPr>
        <w:spacing w:line="360" w:lineRule="auto"/>
        <w:jc w:val="both"/>
        <w:rPr>
          <w:rFonts w:ascii="Garamond" w:hAnsi="Garamond"/>
        </w:rPr>
      </w:pPr>
      <w:r w:rsidRPr="00217FE0">
        <w:rPr>
          <w:rFonts w:ascii="Garamond" w:hAnsi="Garamond"/>
          <w:i/>
        </w:rPr>
        <w:t>Finanzsektorpolitik:</w:t>
      </w:r>
      <w:r w:rsidRPr="00217FE0">
        <w:rPr>
          <w:rFonts w:ascii="Garamond" w:hAnsi="Garamond"/>
        </w:rPr>
        <w:t xml:space="preserve"> </w:t>
      </w:r>
      <w:r>
        <w:rPr>
          <w:rFonts w:ascii="Garamond" w:hAnsi="Garamond"/>
        </w:rPr>
        <w:t xml:space="preserve">Die </w:t>
      </w:r>
      <w:r w:rsidRPr="00217FE0">
        <w:rPr>
          <w:rFonts w:ascii="Garamond" w:hAnsi="Garamond"/>
        </w:rPr>
        <w:t>Stärkung von Finanzaufsicht und –regeln sollen die Wiederkehr von</w:t>
      </w:r>
      <w:r>
        <w:rPr>
          <w:rFonts w:ascii="Garamond" w:hAnsi="Garamond"/>
        </w:rPr>
        <w:t xml:space="preserve"> exzessiv hohem</w:t>
      </w:r>
      <w:r w:rsidRPr="00217FE0">
        <w:rPr>
          <w:rFonts w:ascii="Garamond" w:hAnsi="Garamond"/>
        </w:rPr>
        <w:t xml:space="preserve"> Kreditwachstum </w:t>
      </w:r>
      <w:r>
        <w:rPr>
          <w:rFonts w:ascii="Garamond" w:hAnsi="Garamond"/>
        </w:rPr>
        <w:t xml:space="preserve">und </w:t>
      </w:r>
      <w:r w:rsidRPr="00217FE0">
        <w:rPr>
          <w:rFonts w:ascii="Garamond" w:hAnsi="Garamond"/>
        </w:rPr>
        <w:t>überhöhtes</w:t>
      </w:r>
      <w:r w:rsidRPr="009C77D4">
        <w:rPr>
          <w:rFonts w:ascii="Garamond" w:hAnsi="Garamond"/>
        </w:rPr>
        <w:t xml:space="preserve"> leverage</w:t>
      </w:r>
      <w:r>
        <w:rPr>
          <w:rFonts w:ascii="Garamond" w:hAnsi="Garamond"/>
        </w:rPr>
        <w:t xml:space="preserve"> </w:t>
      </w:r>
      <w:r w:rsidRPr="00217FE0">
        <w:rPr>
          <w:rFonts w:ascii="Garamond" w:hAnsi="Garamond"/>
        </w:rPr>
        <w:t xml:space="preserve">verhindern. </w:t>
      </w:r>
    </w:p>
    <w:p w:rsidR="000F58FF" w:rsidRDefault="000F58FF" w:rsidP="000F58FF">
      <w:pPr>
        <w:pStyle w:val="ListParagraph"/>
        <w:numPr>
          <w:ilvl w:val="0"/>
          <w:numId w:val="26"/>
        </w:numPr>
        <w:spacing w:line="360" w:lineRule="auto"/>
        <w:jc w:val="both"/>
        <w:rPr>
          <w:rFonts w:ascii="Garamond" w:hAnsi="Garamond"/>
        </w:rPr>
      </w:pPr>
      <w:r w:rsidRPr="00217FE0">
        <w:rPr>
          <w:rFonts w:ascii="Garamond" w:hAnsi="Garamond"/>
          <w:i/>
        </w:rPr>
        <w:t>Fiskalpolitik</w:t>
      </w:r>
      <w:r>
        <w:rPr>
          <w:rFonts w:ascii="Garamond" w:hAnsi="Garamond"/>
        </w:rPr>
        <w:t>:</w:t>
      </w:r>
      <w:r w:rsidRPr="00064DD2">
        <w:rPr>
          <w:rFonts w:ascii="Garamond" w:hAnsi="Garamond"/>
        </w:rPr>
        <w:t xml:space="preserve"> </w:t>
      </w:r>
      <w:r>
        <w:rPr>
          <w:rFonts w:ascii="Garamond" w:hAnsi="Garamond"/>
        </w:rPr>
        <w:t xml:space="preserve">Ziel ist es eine verantwortungsbewusste und nachhaltige Fiskalpolitik umzusetzen. </w:t>
      </w:r>
      <w:r w:rsidRPr="00064DD2">
        <w:rPr>
          <w:rFonts w:ascii="Garamond" w:hAnsi="Garamond"/>
        </w:rPr>
        <w:t>Die Industriestaaten</w:t>
      </w:r>
      <w:r>
        <w:rPr>
          <w:rFonts w:ascii="Garamond" w:hAnsi="Garamond"/>
        </w:rPr>
        <w:t xml:space="preserve"> der G-20</w:t>
      </w:r>
      <w:r w:rsidRPr="00064DD2">
        <w:rPr>
          <w:rFonts w:ascii="Garamond" w:hAnsi="Garamond"/>
        </w:rPr>
        <w:t xml:space="preserve"> haben </w:t>
      </w:r>
      <w:r>
        <w:rPr>
          <w:rFonts w:ascii="Garamond" w:hAnsi="Garamond"/>
        </w:rPr>
        <w:t>zugesagt</w:t>
      </w:r>
      <w:r w:rsidRPr="00064DD2">
        <w:rPr>
          <w:rFonts w:ascii="Garamond" w:hAnsi="Garamond"/>
        </w:rPr>
        <w:t xml:space="preserve"> ihre Staatsdefizite bis 2013 um mindestens die Hälfte zu reduzieren und die Schuldenquote bis 2016 zu stabilisieren </w:t>
      </w:r>
      <w:r>
        <w:rPr>
          <w:rFonts w:ascii="Garamond" w:hAnsi="Garamond"/>
        </w:rPr>
        <w:t>bzw.</w:t>
      </w:r>
      <w:r w:rsidRPr="00064DD2">
        <w:rPr>
          <w:rFonts w:ascii="Garamond" w:hAnsi="Garamond"/>
        </w:rPr>
        <w:t xml:space="preserve"> zu reduzieren. Um das Wirtschaftswachstum nicht zu gefährden</w:t>
      </w:r>
      <w:r>
        <w:rPr>
          <w:rFonts w:ascii="Garamond" w:hAnsi="Garamond"/>
        </w:rPr>
        <w:t>,</w:t>
      </w:r>
      <w:r w:rsidRPr="00064DD2">
        <w:rPr>
          <w:rFonts w:ascii="Garamond" w:hAnsi="Garamond"/>
        </w:rPr>
        <w:t xml:space="preserve"> sollen zu</w:t>
      </w:r>
      <w:r>
        <w:rPr>
          <w:rFonts w:ascii="Garamond" w:hAnsi="Garamond"/>
        </w:rPr>
        <w:t>r</w:t>
      </w:r>
      <w:r w:rsidRPr="00064DD2">
        <w:rPr>
          <w:rFonts w:ascii="Garamond" w:hAnsi="Garamond"/>
        </w:rPr>
        <w:t xml:space="preserve"> Konsolid</w:t>
      </w:r>
      <w:r>
        <w:rPr>
          <w:rFonts w:ascii="Garamond" w:hAnsi="Garamond"/>
        </w:rPr>
        <w:t xml:space="preserve">ierung </w:t>
      </w:r>
      <w:r w:rsidRPr="00281B9C">
        <w:rPr>
          <w:rFonts w:ascii="Garamond" w:hAnsi="Garamond"/>
        </w:rPr>
        <w:t>„</w:t>
      </w:r>
      <w:r>
        <w:rPr>
          <w:rFonts w:ascii="Garamond" w:hAnsi="Garamond"/>
        </w:rPr>
        <w:t>wachstumsfreundliche Maßnahmen</w:t>
      </w:r>
      <w:r w:rsidRPr="00281B9C">
        <w:rPr>
          <w:rFonts w:ascii="Garamond" w:hAnsi="Garamond"/>
        </w:rPr>
        <w:t>“</w:t>
      </w:r>
      <w:r w:rsidRPr="00064DD2">
        <w:rPr>
          <w:rFonts w:ascii="Garamond" w:hAnsi="Garamond"/>
        </w:rPr>
        <w:t xml:space="preserve"> zum tragen kommen.</w:t>
      </w:r>
      <w:r w:rsidRPr="00064DD2">
        <w:rPr>
          <w:rStyle w:val="FootnoteReference"/>
          <w:rFonts w:ascii="Garamond" w:hAnsi="Garamond"/>
        </w:rPr>
        <w:footnoteReference w:id="5"/>
      </w:r>
    </w:p>
    <w:p w:rsidR="000F58FF" w:rsidRPr="00064DD2" w:rsidRDefault="000F58FF" w:rsidP="000F58FF">
      <w:pPr>
        <w:pStyle w:val="ListParagraph"/>
        <w:numPr>
          <w:ilvl w:val="0"/>
          <w:numId w:val="26"/>
        </w:numPr>
        <w:spacing w:line="360" w:lineRule="auto"/>
        <w:jc w:val="both"/>
        <w:rPr>
          <w:rFonts w:ascii="Garamond" w:hAnsi="Garamond"/>
        </w:rPr>
      </w:pPr>
      <w:r>
        <w:rPr>
          <w:rFonts w:ascii="Garamond" w:hAnsi="Garamond"/>
          <w:i/>
        </w:rPr>
        <w:t>Geld- und Wechselkurspolitik:</w:t>
      </w:r>
      <w:r>
        <w:rPr>
          <w:rFonts w:ascii="Garamond" w:hAnsi="Garamond"/>
        </w:rPr>
        <w:t xml:space="preserve"> Durchführung einer Geldpolitik, die die Preisstabilität als Ziel hat. Zudem soll der Wechselkurs die jeweiligen Fundamentaldaten eines Landes widerspiegeln. Auch vereinbarten die G-20 ausgeglichene Leistungsbilanzsalden zu fördern. </w:t>
      </w:r>
    </w:p>
    <w:p w:rsidR="000F58FF" w:rsidRDefault="000F58FF" w:rsidP="000F58FF">
      <w:pPr>
        <w:pStyle w:val="ListParagraph"/>
        <w:numPr>
          <w:ilvl w:val="0"/>
          <w:numId w:val="26"/>
        </w:numPr>
        <w:spacing w:line="360" w:lineRule="auto"/>
        <w:jc w:val="both"/>
        <w:rPr>
          <w:rFonts w:ascii="Garamond" w:hAnsi="Garamond"/>
        </w:rPr>
      </w:pPr>
      <w:r>
        <w:rPr>
          <w:rFonts w:ascii="Garamond" w:hAnsi="Garamond"/>
          <w:i/>
        </w:rPr>
        <w:t xml:space="preserve">Strukturpolitik: </w:t>
      </w:r>
      <w:r>
        <w:rPr>
          <w:rFonts w:ascii="Garamond" w:hAnsi="Garamond"/>
        </w:rPr>
        <w:t>Strukturreformen sollen unternommen werden um so die heimische Nachfrage zu fördern und langfristiges Wachstum zu gewährleisten.</w:t>
      </w:r>
    </w:p>
    <w:p w:rsidR="000F58FF" w:rsidRPr="00D46D7D" w:rsidRDefault="000F58FF" w:rsidP="000F58FF">
      <w:pPr>
        <w:pStyle w:val="ListParagraph"/>
        <w:spacing w:line="360" w:lineRule="auto"/>
        <w:ind w:left="0"/>
        <w:jc w:val="both"/>
        <w:rPr>
          <w:rFonts w:ascii="Garamond" w:hAnsi="Garamond"/>
        </w:rPr>
      </w:pPr>
      <w:r>
        <w:rPr>
          <w:rFonts w:ascii="Garamond" w:hAnsi="Garamond"/>
        </w:rPr>
        <w:t xml:space="preserve">Um die nationalen Politiken untereinander zu koordinieren, wurde innerhalb von diesem Framework </w:t>
      </w:r>
      <w:r w:rsidRPr="00D46D7D">
        <w:rPr>
          <w:rFonts w:ascii="Garamond" w:hAnsi="Garamond"/>
        </w:rPr>
        <w:t>ein Bewertungsprozess, der Mutual Assessment Process, ins Leben gerufen. Der IWF ist damit beauftragt</w:t>
      </w:r>
      <w:r>
        <w:rPr>
          <w:rFonts w:ascii="Garamond" w:hAnsi="Garamond"/>
        </w:rPr>
        <w:t>,</w:t>
      </w:r>
      <w:r w:rsidRPr="00D46D7D">
        <w:rPr>
          <w:rFonts w:ascii="Garamond" w:hAnsi="Garamond"/>
        </w:rPr>
        <w:t xml:space="preserve"> die einzelnen nationalen Politikmaßnahmen zu bewerten und diese untereinander auf Kohärenz zu überprüfen. Er erstellt mit der Unterstützung </w:t>
      </w:r>
      <w:r>
        <w:rPr>
          <w:rFonts w:ascii="Garamond" w:hAnsi="Garamond"/>
        </w:rPr>
        <w:t>anderer internationaler</w:t>
      </w:r>
      <w:r w:rsidRPr="00D46D7D">
        <w:rPr>
          <w:rFonts w:ascii="Garamond" w:hAnsi="Garamond"/>
        </w:rPr>
        <w:t xml:space="preserve"> Orga</w:t>
      </w:r>
      <w:r>
        <w:rPr>
          <w:rFonts w:ascii="Garamond" w:hAnsi="Garamond"/>
        </w:rPr>
        <w:t>nisationen wie etwa</w:t>
      </w:r>
      <w:r w:rsidRPr="00D46D7D">
        <w:rPr>
          <w:rFonts w:ascii="Garamond" w:hAnsi="Garamond"/>
        </w:rPr>
        <w:t xml:space="preserve"> dem Financial Stability Board (FSB) oder der OECD regelmäßig Analysen und Berichte</w:t>
      </w:r>
      <w:r>
        <w:rPr>
          <w:rFonts w:ascii="Garamond" w:hAnsi="Garamond"/>
        </w:rPr>
        <w:t xml:space="preserve"> bezüglich des Fortschritts, </w:t>
      </w:r>
      <w:r w:rsidRPr="00D46D7D">
        <w:rPr>
          <w:rFonts w:ascii="Garamond" w:hAnsi="Garamond"/>
        </w:rPr>
        <w:t xml:space="preserve">der Konsistenz </w:t>
      </w:r>
      <w:r>
        <w:rPr>
          <w:rFonts w:ascii="Garamond" w:hAnsi="Garamond"/>
        </w:rPr>
        <w:t xml:space="preserve">und der internationalen Wirkung </w:t>
      </w:r>
      <w:r w:rsidRPr="00D46D7D">
        <w:rPr>
          <w:rFonts w:ascii="Garamond" w:hAnsi="Garamond"/>
        </w:rPr>
        <w:t>der nationalen Wirtschafts</w:t>
      </w:r>
      <w:r>
        <w:rPr>
          <w:rFonts w:ascii="Garamond" w:hAnsi="Garamond"/>
        </w:rPr>
        <w:t>- und Finanz</w:t>
      </w:r>
      <w:r w:rsidRPr="00D46D7D">
        <w:rPr>
          <w:rFonts w:ascii="Garamond" w:hAnsi="Garamond"/>
        </w:rPr>
        <w:t>politiken.</w:t>
      </w:r>
      <w:r w:rsidRPr="00064DD2">
        <w:rPr>
          <w:rStyle w:val="FootnoteReference"/>
          <w:rFonts w:ascii="Garamond" w:hAnsi="Garamond"/>
        </w:rPr>
        <w:footnoteReference w:id="6"/>
      </w:r>
      <w:r w:rsidRPr="00D46D7D">
        <w:rPr>
          <w:rFonts w:ascii="Garamond" w:hAnsi="Garamond"/>
        </w:rPr>
        <w:t xml:space="preserve"> </w:t>
      </w:r>
    </w:p>
    <w:p w:rsidR="000F58FF" w:rsidRPr="00E135BC" w:rsidRDefault="000F58FF" w:rsidP="006975D2">
      <w:pPr>
        <w:pStyle w:val="Heading2"/>
      </w:pPr>
      <w:bookmarkStart w:id="15" w:name="_Toc156647780"/>
      <w:bookmarkStart w:id="16" w:name="_Toc156648406"/>
      <w:r w:rsidRPr="00E135BC">
        <w:t>Banken- und Finanzsektorregulierung</w:t>
      </w:r>
      <w:bookmarkEnd w:id="15"/>
      <w:bookmarkEnd w:id="16"/>
    </w:p>
    <w:p w:rsidR="000F58FF" w:rsidRPr="00064DD2" w:rsidRDefault="000F58FF" w:rsidP="000F58FF">
      <w:pPr>
        <w:pStyle w:val="ListParagraph"/>
        <w:spacing w:line="360" w:lineRule="auto"/>
        <w:ind w:left="0"/>
        <w:jc w:val="both"/>
        <w:rPr>
          <w:rFonts w:ascii="Garamond" w:hAnsi="Garamond"/>
        </w:rPr>
      </w:pPr>
      <w:r w:rsidRPr="00064DD2">
        <w:rPr>
          <w:rFonts w:ascii="Garamond" w:hAnsi="Garamond"/>
        </w:rPr>
        <w:t>Bereits während des G-20-Treffens in Washington 2008 wurde als Antwort auf die globale Wirtschafts- und Finanzkrise ein Aktionsplan mit 47 Maßnahmen beschlossen.</w:t>
      </w:r>
      <w:r w:rsidRPr="00064DD2">
        <w:rPr>
          <w:rStyle w:val="FootnoteReference"/>
          <w:rFonts w:ascii="Garamond" w:hAnsi="Garamond"/>
        </w:rPr>
        <w:footnoteReference w:id="7"/>
      </w:r>
      <w:r w:rsidRPr="00064DD2">
        <w:rPr>
          <w:rStyle w:val="FootnoteReference"/>
          <w:rFonts w:ascii="Garamond" w:hAnsi="Garamond"/>
        </w:rPr>
        <w:t xml:space="preserve"> </w:t>
      </w:r>
      <w:r w:rsidRPr="00064DD2">
        <w:rPr>
          <w:rFonts w:ascii="Garamond" w:hAnsi="Garamond"/>
        </w:rPr>
        <w:t xml:space="preserve">Um den vorgeschriebenen Rahmen dieses Impulspapiers Rechnung zu tragen, werden im Folgenden nur ausgewählte Maßnahmen </w:t>
      </w:r>
      <w:r>
        <w:rPr>
          <w:rFonts w:ascii="Garamond" w:hAnsi="Garamond"/>
        </w:rPr>
        <w:t>der Banken-</w:t>
      </w:r>
      <w:r w:rsidRPr="00064DD2">
        <w:rPr>
          <w:rFonts w:ascii="Garamond" w:hAnsi="Garamond"/>
        </w:rPr>
        <w:t xml:space="preserve"> und Finanzsektorregulierung vorgetragen. </w:t>
      </w:r>
    </w:p>
    <w:p w:rsidR="000F58FF" w:rsidRDefault="000F58FF" w:rsidP="000F58FF">
      <w:pPr>
        <w:pStyle w:val="ListParagraph"/>
        <w:numPr>
          <w:ilvl w:val="0"/>
          <w:numId w:val="26"/>
        </w:numPr>
        <w:spacing w:line="360" w:lineRule="auto"/>
        <w:jc w:val="both"/>
        <w:rPr>
          <w:rFonts w:ascii="Garamond" w:hAnsi="Garamond"/>
        </w:rPr>
      </w:pPr>
      <w:r w:rsidRPr="003B7143">
        <w:rPr>
          <w:rFonts w:ascii="Garamond" w:hAnsi="Garamond"/>
        </w:rPr>
        <w:t xml:space="preserve"> Das Financial Stability Forum (FSF) wird zum FSB unter Aufnahme bisher noch nicht vertretener G</w:t>
      </w:r>
      <w:r w:rsidR="004759CC">
        <w:rPr>
          <w:rFonts w:ascii="Garamond" w:hAnsi="Garamond"/>
        </w:rPr>
        <w:t>-</w:t>
      </w:r>
      <w:r w:rsidRPr="003B7143">
        <w:rPr>
          <w:rFonts w:ascii="Garamond" w:hAnsi="Garamond"/>
        </w:rPr>
        <w:t>20-Mitgliedsstaaten sowie Spaniens und der EU-Kommission erweitert, dessen Mandat zudem ausgeweitet wird. Hauptaufgabe demnach ist es das internationale Finanzsystem mit Blick auf mögliche Schwächen zu überwachen, Handlungsstrategien zu erarbeiten sowie den Informationsaustausch zwischen verschiedene Institutionen zu koordinieren. Mit dem IWF soll das FSB zusammen ein Frühwarnsystem für zukünftige Krisen einrichten.</w:t>
      </w:r>
      <w:r w:rsidRPr="00064DD2">
        <w:rPr>
          <w:rStyle w:val="FootnoteReference"/>
          <w:rFonts w:ascii="Garamond" w:hAnsi="Garamond"/>
        </w:rPr>
        <w:footnoteReference w:id="8"/>
      </w:r>
      <w:r w:rsidRPr="003B7143">
        <w:rPr>
          <w:rStyle w:val="FootnoteReference"/>
          <w:rFonts w:ascii="Garamond" w:hAnsi="Garamond"/>
        </w:rPr>
        <w:t xml:space="preserve"> </w:t>
      </w:r>
      <w:r w:rsidRPr="003B7143">
        <w:rPr>
          <w:rFonts w:ascii="Garamond" w:hAnsi="Garamond"/>
        </w:rPr>
        <w:t xml:space="preserve"> </w:t>
      </w:r>
    </w:p>
    <w:p w:rsidR="000F58FF" w:rsidRPr="003B7143" w:rsidRDefault="000F58FF" w:rsidP="000F58FF">
      <w:pPr>
        <w:pStyle w:val="ListParagraph"/>
        <w:numPr>
          <w:ilvl w:val="0"/>
          <w:numId w:val="26"/>
        </w:numPr>
        <w:spacing w:line="360" w:lineRule="auto"/>
        <w:jc w:val="both"/>
        <w:rPr>
          <w:rFonts w:ascii="Garamond" w:hAnsi="Garamond"/>
        </w:rPr>
      </w:pPr>
      <w:r w:rsidRPr="003B7143">
        <w:rPr>
          <w:rFonts w:ascii="Garamond" w:hAnsi="Garamond"/>
        </w:rPr>
        <w:t>Zudem sollen systemrelevante</w:t>
      </w:r>
      <w:r w:rsidR="004759CC">
        <w:rPr>
          <w:rFonts w:ascii="Garamond" w:hAnsi="Garamond"/>
        </w:rPr>
        <w:t>n Finanzinstitute, -märkte und -</w:t>
      </w:r>
      <w:r w:rsidRPr="003B7143">
        <w:rPr>
          <w:rFonts w:ascii="Garamond" w:hAnsi="Garamond"/>
        </w:rPr>
        <w:t>instrumente der stärkern Überwachung und Regulierung unterliegen. Dazu zählen Hedgefonds und Rating</w:t>
      </w:r>
      <w:r>
        <w:rPr>
          <w:rFonts w:ascii="Garamond" w:hAnsi="Garamond"/>
        </w:rPr>
        <w:t>-A</w:t>
      </w:r>
      <w:r w:rsidRPr="003B7143">
        <w:rPr>
          <w:rFonts w:ascii="Garamond" w:hAnsi="Garamond"/>
        </w:rPr>
        <w:t>gentu</w:t>
      </w:r>
      <w:r>
        <w:rPr>
          <w:rFonts w:ascii="Garamond" w:hAnsi="Garamond"/>
        </w:rPr>
        <w:t>ren</w:t>
      </w:r>
      <w:r w:rsidRPr="003B7143">
        <w:rPr>
          <w:rFonts w:ascii="Garamond" w:hAnsi="Garamond"/>
        </w:rPr>
        <w:t xml:space="preserve">, die registriert werden und einer regulatorischen Überwachung </w:t>
      </w:r>
      <w:r>
        <w:rPr>
          <w:rFonts w:ascii="Garamond" w:hAnsi="Garamond"/>
        </w:rPr>
        <w:t>unterworfen werden</w:t>
      </w:r>
      <w:r w:rsidRPr="003B7143">
        <w:rPr>
          <w:rFonts w:ascii="Garamond" w:hAnsi="Garamond"/>
        </w:rPr>
        <w:t xml:space="preserve"> sollen.</w:t>
      </w:r>
      <w:r w:rsidRPr="00064DD2">
        <w:rPr>
          <w:rStyle w:val="FootnoteReference"/>
          <w:rFonts w:ascii="Garamond" w:hAnsi="Garamond"/>
        </w:rPr>
        <w:footnoteReference w:id="9"/>
      </w:r>
    </w:p>
    <w:p w:rsidR="000F58FF" w:rsidRPr="004F43E0" w:rsidRDefault="000F58FF" w:rsidP="000F58FF">
      <w:pPr>
        <w:pStyle w:val="ListParagraph"/>
        <w:numPr>
          <w:ilvl w:val="0"/>
          <w:numId w:val="26"/>
        </w:numPr>
        <w:spacing w:line="360" w:lineRule="auto"/>
        <w:jc w:val="both"/>
        <w:rPr>
          <w:rFonts w:ascii="Garamond" w:hAnsi="Garamond"/>
        </w:rPr>
      </w:pPr>
      <w:r>
        <w:rPr>
          <w:rFonts w:ascii="Garamond" w:hAnsi="Garamond"/>
        </w:rPr>
        <w:t>Die j</w:t>
      </w:r>
      <w:r w:rsidRPr="00064DD2">
        <w:rPr>
          <w:rFonts w:ascii="Garamond" w:hAnsi="Garamond"/>
        </w:rPr>
        <w:t>üngste Maßnahme ist das Abkommen Basel III, welches von der Bank für internationalen Zahlungsausgleich in Basel ausgearbeitet wurde. Ziel ist es die Bankenaufsicht, die Regulierung sowie Risikomanagement im Bankensektor zu</w:t>
      </w:r>
      <w:r>
        <w:rPr>
          <w:rFonts w:ascii="Garamond" w:hAnsi="Garamond"/>
        </w:rPr>
        <w:t xml:space="preserve"> </w:t>
      </w:r>
      <w:r w:rsidRPr="00064DD2">
        <w:rPr>
          <w:rFonts w:ascii="Garamond" w:hAnsi="Garamond"/>
        </w:rPr>
        <w:t>stärken. Beispielsweise werden höhere Eigenkapital</w:t>
      </w:r>
      <w:r>
        <w:rPr>
          <w:rFonts w:ascii="Garamond" w:hAnsi="Garamond"/>
        </w:rPr>
        <w:t>-</w:t>
      </w:r>
      <w:r w:rsidRPr="00064DD2">
        <w:rPr>
          <w:rFonts w:ascii="Garamond" w:hAnsi="Garamond"/>
        </w:rPr>
        <w:t xml:space="preserve"> und Liquiditätsquoten festgelegt. </w:t>
      </w:r>
      <w:r>
        <w:rPr>
          <w:rFonts w:ascii="Garamond" w:hAnsi="Garamond"/>
        </w:rPr>
        <w:t>Des Weiteren</w:t>
      </w:r>
      <w:r w:rsidRPr="00064DD2">
        <w:rPr>
          <w:rFonts w:ascii="Garamond" w:hAnsi="Garamond"/>
        </w:rPr>
        <w:t xml:space="preserve"> müssen Banken, wenn sie risikoreiche Finanzprodukte anbieten, mehr Eigenkapital als Sicherheit zurücklegen.</w:t>
      </w:r>
      <w:r w:rsidRPr="00064DD2">
        <w:rPr>
          <w:rStyle w:val="FootnoteReference"/>
          <w:rFonts w:ascii="Garamond" w:hAnsi="Garamond"/>
        </w:rPr>
        <w:footnoteReference w:id="10"/>
      </w:r>
      <w:r w:rsidRPr="00064DD2">
        <w:rPr>
          <w:rFonts w:ascii="Garamond" w:hAnsi="Garamond"/>
        </w:rPr>
        <w:t xml:space="preserve"> Bei dem letzten G-20-Treffen stimmten die Mitglieder diesem Abkommen zu und stell</w:t>
      </w:r>
      <w:r>
        <w:rPr>
          <w:rFonts w:ascii="Garamond" w:hAnsi="Garamond"/>
        </w:rPr>
        <w:t>t</w:t>
      </w:r>
      <w:r w:rsidRPr="00064DD2">
        <w:rPr>
          <w:rFonts w:ascii="Garamond" w:hAnsi="Garamond"/>
        </w:rPr>
        <w:t>en einen Zeitplan zur Implementierungen der einzelnen Regulierungsmaßnahmen auf.</w:t>
      </w:r>
      <w:r w:rsidRPr="00064DD2">
        <w:rPr>
          <w:rStyle w:val="FootnoteReference"/>
          <w:rFonts w:ascii="Garamond" w:hAnsi="Garamond"/>
        </w:rPr>
        <w:footnoteReference w:id="11"/>
      </w:r>
      <w:r w:rsidRPr="00064DD2">
        <w:rPr>
          <w:rFonts w:ascii="Garamond" w:hAnsi="Garamond"/>
        </w:rPr>
        <w:t xml:space="preserve"> </w:t>
      </w:r>
    </w:p>
    <w:p w:rsidR="000F58FF" w:rsidRPr="00E135BC" w:rsidRDefault="000F58FF" w:rsidP="006975D2">
      <w:pPr>
        <w:pStyle w:val="Heading2"/>
      </w:pPr>
      <w:bookmarkStart w:id="17" w:name="_Toc156647781"/>
      <w:bookmarkStart w:id="18" w:name="_Toc156648407"/>
      <w:r w:rsidRPr="00E135BC">
        <w:t>Festschreibung von Leistungsbilanzsalden</w:t>
      </w:r>
      <w:bookmarkEnd w:id="17"/>
      <w:bookmarkEnd w:id="18"/>
      <w:r w:rsidRPr="00E135BC">
        <w:t xml:space="preserve"> </w:t>
      </w:r>
    </w:p>
    <w:p w:rsidR="000F58FF" w:rsidRDefault="000F58FF" w:rsidP="000F58FF">
      <w:pPr>
        <w:pStyle w:val="ListParagraph"/>
        <w:spacing w:line="360" w:lineRule="auto"/>
        <w:ind w:left="0"/>
        <w:jc w:val="both"/>
      </w:pPr>
      <w:r w:rsidRPr="00064DD2">
        <w:rPr>
          <w:rFonts w:ascii="Garamond" w:hAnsi="Garamond"/>
        </w:rPr>
        <w:t xml:space="preserve">Ein Vorschlag, der während des Treffen der G-20-Finanzminister und Notenbankchefs in Gyeongju, Südkorea letzten Jahres vom US-Finanzminister </w:t>
      </w:r>
      <w:r w:rsidRPr="00064DD2">
        <w:rPr>
          <w:rStyle w:val="normal0"/>
          <w:rFonts w:ascii="Garamond" w:hAnsi="Garamond"/>
        </w:rPr>
        <w:t xml:space="preserve">Timothy </w:t>
      </w:r>
      <w:r>
        <w:rPr>
          <w:rStyle w:val="normal0"/>
          <w:rFonts w:ascii="Garamond" w:hAnsi="Garamond"/>
        </w:rPr>
        <w:t xml:space="preserve">Geithner angebracht wurde, ist </w:t>
      </w:r>
      <w:r w:rsidRPr="00064DD2">
        <w:rPr>
          <w:rStyle w:val="normal0"/>
          <w:rFonts w:ascii="Garamond" w:hAnsi="Garamond"/>
        </w:rPr>
        <w:t>eine bestimmte Obergrenze für Lei</w:t>
      </w:r>
      <w:r w:rsidR="004759CC">
        <w:rPr>
          <w:rStyle w:val="normal0"/>
          <w:rFonts w:ascii="Garamond" w:hAnsi="Garamond"/>
        </w:rPr>
        <w:t>stungsbilanzdefiziten als auch -</w:t>
      </w:r>
      <w:r w:rsidRPr="00064DD2">
        <w:rPr>
          <w:rStyle w:val="normal0"/>
          <w:rFonts w:ascii="Garamond" w:hAnsi="Garamond"/>
        </w:rPr>
        <w:t>überschüssen zu definieren. Demnach sollte ein bestimmter Prozentsatz gemessen am BIP die Höhe der außenwirtschaftliche Ungleichgewichte, die als tragbar angesehen werden, festschreiben. Wird dabei die zuvor festgelegte Grenze der Leistungsbilanzsalden erreicht, muss das betreffende Land seine nationale Wirtschaftspolitik ändern. So müssten zum Beispiel Länder mit einem</w:t>
      </w:r>
      <w:r>
        <w:rPr>
          <w:rStyle w:val="normal0"/>
        </w:rPr>
        <w:t xml:space="preserve"> </w:t>
      </w:r>
      <w:r w:rsidRPr="00064DD2">
        <w:rPr>
          <w:rStyle w:val="normal0"/>
          <w:rFonts w:ascii="Garamond" w:hAnsi="Garamond"/>
        </w:rPr>
        <w:t>hohen Exportüberschuss</w:t>
      </w:r>
      <w:r>
        <w:rPr>
          <w:rStyle w:val="normal0"/>
          <w:rFonts w:ascii="Garamond" w:hAnsi="Garamond"/>
        </w:rPr>
        <w:t xml:space="preserve"> wie Deutschland und China</w:t>
      </w:r>
      <w:r w:rsidRPr="00064DD2">
        <w:rPr>
          <w:rStyle w:val="normal0"/>
          <w:rFonts w:ascii="Garamond" w:hAnsi="Garamond"/>
        </w:rPr>
        <w:t xml:space="preserve"> die Binnennachfrage stärken, während Länder m</w:t>
      </w:r>
      <w:r>
        <w:rPr>
          <w:rStyle w:val="normal0"/>
          <w:rFonts w:ascii="Garamond" w:hAnsi="Garamond"/>
        </w:rPr>
        <w:t>it einem Leistungsbilanzdefizit wie es die USA hat</w:t>
      </w:r>
      <w:r w:rsidRPr="00064DD2">
        <w:rPr>
          <w:rStyle w:val="normal0"/>
          <w:rFonts w:ascii="Garamond" w:hAnsi="Garamond"/>
        </w:rPr>
        <w:t xml:space="preserve"> sich zu</w:t>
      </w:r>
      <w:r>
        <w:rPr>
          <w:rStyle w:val="normal0"/>
          <w:rFonts w:ascii="Garamond" w:hAnsi="Garamond"/>
        </w:rPr>
        <w:t>r</w:t>
      </w:r>
      <w:r w:rsidRPr="00064DD2">
        <w:rPr>
          <w:rStyle w:val="normal0"/>
          <w:rFonts w:ascii="Garamond" w:hAnsi="Garamond"/>
        </w:rPr>
        <w:t xml:space="preserve"> </w:t>
      </w:r>
      <w:r>
        <w:rPr>
          <w:rStyle w:val="normal0"/>
          <w:rFonts w:ascii="Garamond" w:hAnsi="Garamond"/>
        </w:rPr>
        <w:t>Erhöhung der Sparquote</w:t>
      </w:r>
      <w:r w:rsidRPr="00064DD2">
        <w:rPr>
          <w:rStyle w:val="normal0"/>
          <w:rFonts w:ascii="Garamond" w:hAnsi="Garamond"/>
        </w:rPr>
        <w:t xml:space="preserve"> als auch zur Stärkung der Exportwirtschaft verpflichten.</w:t>
      </w:r>
      <w:r w:rsidRPr="00064DD2">
        <w:rPr>
          <w:rStyle w:val="FootnoteReference"/>
          <w:rFonts w:ascii="Garamond" w:hAnsi="Garamond"/>
        </w:rPr>
        <w:footnoteReference w:id="12"/>
      </w:r>
      <w:r w:rsidRPr="00064DD2">
        <w:rPr>
          <w:rStyle w:val="normal0"/>
          <w:rFonts w:ascii="Garamond" w:hAnsi="Garamond"/>
        </w:rPr>
        <w:t xml:space="preserve"> Als konkreter Fahrplan stand die Reduzierung der Leistungsbilanzsalden auf vier Prozent bis 2015 im Raum.</w:t>
      </w:r>
      <w:r w:rsidRPr="00064DD2">
        <w:rPr>
          <w:rFonts w:ascii="Garamond" w:hAnsi="Garamond"/>
        </w:rPr>
        <w:t xml:space="preserve"> </w:t>
      </w:r>
      <w:r w:rsidR="004759CC">
        <w:rPr>
          <w:rStyle w:val="normal0"/>
          <w:rFonts w:ascii="Garamond" w:hAnsi="Garamond"/>
        </w:rPr>
        <w:t>Jedoch herrschte unter den G-20-</w:t>
      </w:r>
      <w:r w:rsidRPr="00064DD2">
        <w:rPr>
          <w:rStyle w:val="normal0"/>
          <w:rFonts w:ascii="Garamond" w:hAnsi="Garamond"/>
        </w:rPr>
        <w:t>Finanzminister</w:t>
      </w:r>
      <w:r w:rsidR="004759CC">
        <w:rPr>
          <w:rStyle w:val="normal0"/>
          <w:rFonts w:ascii="Garamond" w:hAnsi="Garamond"/>
        </w:rPr>
        <w:t>n</w:t>
      </w:r>
      <w:r w:rsidRPr="00064DD2">
        <w:rPr>
          <w:rStyle w:val="normal0"/>
          <w:rFonts w:ascii="Garamond" w:hAnsi="Garamond"/>
        </w:rPr>
        <w:t xml:space="preserve"> Uneinigkeit über diesen Vorschlag.</w:t>
      </w:r>
      <w:r w:rsidRPr="00064DD2">
        <w:rPr>
          <w:rStyle w:val="FootnoteReference"/>
          <w:rFonts w:ascii="Garamond" w:hAnsi="Garamond"/>
        </w:rPr>
        <w:footnoteReference w:id="13"/>
      </w:r>
      <w:r w:rsidRPr="00064DD2">
        <w:rPr>
          <w:rStyle w:val="normal0"/>
          <w:rFonts w:ascii="Garamond" w:hAnsi="Garamond"/>
        </w:rPr>
        <w:t xml:space="preserve"> </w:t>
      </w:r>
      <w:r w:rsidRPr="00064DD2">
        <w:rPr>
          <w:rFonts w:ascii="Garamond" w:hAnsi="Garamond"/>
        </w:rPr>
        <w:t xml:space="preserve">Im Kommuniqué von Gyeongju wurde daher nur festgehalten, dass die multilateralen Kooperation zur Förderung der externen Stabilität verbessert werden soll. Gleichzeitig sollen Maßnahmen ergriffen werden, die zur Reduktion von exzessiven Ungleichgewichten und zur Sicherung von Leistungsbilanzungleichgewichten auf einem vertretbaren Niveau beitragen. Der IWF </w:t>
      </w:r>
      <w:r>
        <w:rPr>
          <w:rFonts w:ascii="Garamond" w:hAnsi="Garamond"/>
        </w:rPr>
        <w:t>ist</w:t>
      </w:r>
      <w:r w:rsidRPr="00064DD2">
        <w:rPr>
          <w:rFonts w:ascii="Garamond" w:hAnsi="Garamond"/>
        </w:rPr>
        <w:t xml:space="preserve"> beauftragt innerhalb des MAP zu überprüfen</w:t>
      </w:r>
      <w:r>
        <w:rPr>
          <w:rFonts w:ascii="Garamond" w:hAnsi="Garamond"/>
        </w:rPr>
        <w:t>,</w:t>
      </w:r>
      <w:r w:rsidRPr="00064DD2">
        <w:rPr>
          <w:rFonts w:ascii="Garamond" w:hAnsi="Garamond"/>
        </w:rPr>
        <w:t xml:space="preserve"> ob es Fortschritte in diese Richtung gibt.</w:t>
      </w:r>
      <w:r w:rsidRPr="00064DD2">
        <w:rPr>
          <w:rStyle w:val="FootnoteReference"/>
          <w:rFonts w:ascii="Garamond" w:hAnsi="Garamond"/>
        </w:rPr>
        <w:footnoteReference w:id="14"/>
      </w:r>
      <w:r>
        <w:t xml:space="preserve"> </w:t>
      </w:r>
    </w:p>
    <w:p w:rsidR="000F58FF" w:rsidRPr="00E135BC" w:rsidRDefault="000F58FF" w:rsidP="006975D2">
      <w:pPr>
        <w:pStyle w:val="Heading2"/>
      </w:pPr>
      <w:bookmarkStart w:id="19" w:name="_Toc156647782"/>
      <w:bookmarkStart w:id="20" w:name="_Toc156648408"/>
      <w:r w:rsidRPr="00E135BC">
        <w:t>Versicherung gegen Währungskrisen</w:t>
      </w:r>
      <w:bookmarkEnd w:id="19"/>
      <w:bookmarkEnd w:id="20"/>
    </w:p>
    <w:p w:rsidR="000F58FF" w:rsidRPr="00191E82" w:rsidRDefault="000F58FF" w:rsidP="000F58FF">
      <w:pPr>
        <w:pStyle w:val="ListParagraph"/>
        <w:spacing w:line="360" w:lineRule="auto"/>
        <w:ind w:left="0"/>
        <w:jc w:val="both"/>
        <w:rPr>
          <w:rFonts w:ascii="Garamond" w:hAnsi="Garamond"/>
        </w:rPr>
      </w:pPr>
      <w:r w:rsidRPr="00191E82">
        <w:rPr>
          <w:rFonts w:ascii="Garamond" w:hAnsi="Garamond"/>
        </w:rPr>
        <w:t>Wie unte</w:t>
      </w:r>
      <w:r w:rsidRPr="007F3EC4">
        <w:rPr>
          <w:rFonts w:ascii="Garamond" w:hAnsi="Garamond"/>
        </w:rPr>
        <w:t xml:space="preserve">r </w:t>
      </w:r>
      <w:r w:rsidRPr="007F3EC4">
        <w:rPr>
          <w:rFonts w:ascii="Garamond" w:hAnsi="Garamond"/>
          <w:color w:val="000000" w:themeColor="text1"/>
        </w:rPr>
        <w:t xml:space="preserve">Punkt 1.2 </w:t>
      </w:r>
      <w:r>
        <w:rPr>
          <w:rFonts w:ascii="Garamond" w:hAnsi="Garamond"/>
          <w:color w:val="000000" w:themeColor="text1"/>
        </w:rPr>
        <w:t>angeführt</w:t>
      </w:r>
      <w:r w:rsidRPr="007F3EC4">
        <w:rPr>
          <w:rFonts w:ascii="Garamond" w:hAnsi="Garamond"/>
        </w:rPr>
        <w:t>,</w:t>
      </w:r>
      <w:r w:rsidRPr="00191E82">
        <w:rPr>
          <w:rFonts w:ascii="Garamond" w:hAnsi="Garamond"/>
        </w:rPr>
        <w:t xml:space="preserve"> ist </w:t>
      </w:r>
      <w:r>
        <w:rPr>
          <w:rFonts w:ascii="Garamond" w:hAnsi="Garamond"/>
        </w:rPr>
        <w:t>die Versicherung</w:t>
      </w:r>
      <w:r w:rsidRPr="00191E82">
        <w:rPr>
          <w:rFonts w:ascii="Garamond" w:hAnsi="Garamond"/>
        </w:rPr>
        <w:t xml:space="preserve"> gegen </w:t>
      </w:r>
      <w:r>
        <w:rPr>
          <w:rFonts w:ascii="Garamond" w:hAnsi="Garamond"/>
        </w:rPr>
        <w:t>Währungskrisen</w:t>
      </w:r>
      <w:r w:rsidRPr="00191E82">
        <w:rPr>
          <w:rFonts w:ascii="Garamond" w:hAnsi="Garamond"/>
        </w:rPr>
        <w:t xml:space="preserve"> </w:t>
      </w:r>
      <w:r>
        <w:rPr>
          <w:rFonts w:ascii="Garamond" w:hAnsi="Garamond"/>
        </w:rPr>
        <w:t xml:space="preserve">ein wichtiges </w:t>
      </w:r>
      <w:r w:rsidRPr="00191E82">
        <w:rPr>
          <w:rFonts w:ascii="Garamond" w:hAnsi="Garamond"/>
        </w:rPr>
        <w:t>Motiv für di</w:t>
      </w:r>
      <w:r>
        <w:rPr>
          <w:rFonts w:ascii="Garamond" w:hAnsi="Garamond"/>
        </w:rPr>
        <w:t>e Haltung hoher Devisenreserven</w:t>
      </w:r>
      <w:r w:rsidRPr="00191E82">
        <w:rPr>
          <w:rFonts w:ascii="Garamond" w:hAnsi="Garamond"/>
        </w:rPr>
        <w:t xml:space="preserve">. Demnach müssten Vorschläge entwickelt werden, </w:t>
      </w:r>
      <w:r>
        <w:rPr>
          <w:rFonts w:ascii="Garamond" w:hAnsi="Garamond"/>
        </w:rPr>
        <w:t>welche</w:t>
      </w:r>
      <w:r w:rsidRPr="00191E82">
        <w:rPr>
          <w:rFonts w:ascii="Garamond" w:hAnsi="Garamond"/>
        </w:rPr>
        <w:t xml:space="preserve"> die Notwendigkeit der Devisenreservenhaltung </w:t>
      </w:r>
      <w:r>
        <w:rPr>
          <w:rFonts w:ascii="Garamond" w:hAnsi="Garamond"/>
        </w:rPr>
        <w:t xml:space="preserve">reduzieren und somit </w:t>
      </w:r>
      <w:r w:rsidRPr="00191E82">
        <w:rPr>
          <w:rFonts w:ascii="Garamond" w:hAnsi="Garamond"/>
        </w:rPr>
        <w:t>die Nachfrage nach Fremdw</w:t>
      </w:r>
      <w:r>
        <w:rPr>
          <w:rFonts w:ascii="Garamond" w:hAnsi="Garamond"/>
        </w:rPr>
        <w:t>ährung insgesamt – insbesondere USD</w:t>
      </w:r>
      <w:r w:rsidRPr="00191E82">
        <w:rPr>
          <w:rFonts w:ascii="Garamond" w:hAnsi="Garamond"/>
        </w:rPr>
        <w:t xml:space="preserve"> </w:t>
      </w:r>
      <w:r>
        <w:rPr>
          <w:rFonts w:ascii="Garamond" w:hAnsi="Garamond"/>
        </w:rPr>
        <w:t>–</w:t>
      </w:r>
      <w:r w:rsidRPr="00191E82">
        <w:rPr>
          <w:rFonts w:ascii="Garamond" w:hAnsi="Garamond"/>
        </w:rPr>
        <w:t xml:space="preserve"> </w:t>
      </w:r>
      <w:r>
        <w:rPr>
          <w:rFonts w:ascii="Garamond" w:hAnsi="Garamond"/>
        </w:rPr>
        <w:t>senkt</w:t>
      </w:r>
      <w:r w:rsidRPr="00191E82">
        <w:rPr>
          <w:rFonts w:ascii="Garamond" w:hAnsi="Garamond"/>
        </w:rPr>
        <w:t>. Ein Vorschlag wäre ein Versicherungspool, der wie ein Rücklagenfond funktionieren könnte. Dieser Fond könnte im Falle einer anstehenden Krise den Mitgliedern einen kurzzeitigen Kredit gewähren. Als Gegenleistung verpfl</w:t>
      </w:r>
      <w:r>
        <w:rPr>
          <w:rFonts w:ascii="Garamond" w:hAnsi="Garamond"/>
        </w:rPr>
        <w:t>ichtet sich jedes Land eine</w:t>
      </w:r>
      <w:r w:rsidRPr="00191E82">
        <w:rPr>
          <w:rFonts w:ascii="Garamond" w:hAnsi="Garamond"/>
        </w:rPr>
        <w:t xml:space="preserve"> jährlichen "Mitgliedsbeitrag", der abhängig von der wirtschaftlichen Größe des jeweiligen Landes ist</w:t>
      </w:r>
      <w:r>
        <w:rPr>
          <w:rFonts w:ascii="Garamond" w:hAnsi="Garamond"/>
        </w:rPr>
        <w:t>,</w:t>
      </w:r>
      <w:r w:rsidRPr="00191E82">
        <w:rPr>
          <w:rFonts w:ascii="Garamond" w:hAnsi="Garamond"/>
        </w:rPr>
        <w:t xml:space="preserve"> zu bezahlen. Diese Prämie wäre zudem abhängig von dem Grad der Versicherung, die ein Land wünscht (sprich wie </w:t>
      </w:r>
      <w:r>
        <w:rPr>
          <w:rFonts w:ascii="Garamond" w:hAnsi="Garamond"/>
        </w:rPr>
        <w:t>hoch sein Kreditrahmen zu definieren ist</w:t>
      </w:r>
      <w:r w:rsidRPr="00191E82">
        <w:rPr>
          <w:rFonts w:ascii="Garamond" w:hAnsi="Garamond"/>
        </w:rPr>
        <w:t>) und der Wirtschaftspolitik, die d</w:t>
      </w:r>
      <w:r>
        <w:rPr>
          <w:rFonts w:ascii="Garamond" w:hAnsi="Garamond"/>
        </w:rPr>
        <w:t>ieses Land betreibt. So wäre die</w:t>
      </w:r>
      <w:r w:rsidRPr="00191E82">
        <w:rPr>
          <w:rFonts w:ascii="Garamond" w:hAnsi="Garamond"/>
        </w:rPr>
        <w:t xml:space="preserve"> Beitrag</w:t>
      </w:r>
      <w:r>
        <w:rPr>
          <w:rFonts w:ascii="Garamond" w:hAnsi="Garamond"/>
        </w:rPr>
        <w:t>szahlung abhängig von den</w:t>
      </w:r>
      <w:r w:rsidRPr="00191E82">
        <w:rPr>
          <w:rFonts w:ascii="Garamond" w:hAnsi="Garamond"/>
        </w:rPr>
        <w:t xml:space="preserve"> </w:t>
      </w:r>
      <w:r>
        <w:rPr>
          <w:rFonts w:ascii="Garamond" w:hAnsi="Garamond"/>
        </w:rPr>
        <w:t>aus der</w:t>
      </w:r>
      <w:r w:rsidRPr="00191E82">
        <w:rPr>
          <w:rFonts w:ascii="Garamond" w:hAnsi="Garamond"/>
        </w:rPr>
        <w:t xml:space="preserve"> Politik</w:t>
      </w:r>
      <w:r>
        <w:rPr>
          <w:rFonts w:ascii="Garamond" w:hAnsi="Garamond"/>
        </w:rPr>
        <w:t xml:space="preserve"> entstehenden Risiken</w:t>
      </w:r>
      <w:r w:rsidRPr="00191E82">
        <w:rPr>
          <w:rFonts w:ascii="Garamond" w:hAnsi="Garamond"/>
        </w:rPr>
        <w:t xml:space="preserve"> </w:t>
      </w:r>
      <w:r>
        <w:rPr>
          <w:rFonts w:ascii="Garamond" w:hAnsi="Garamond"/>
        </w:rPr>
        <w:t>(</w:t>
      </w:r>
      <w:r w:rsidRPr="00191E82">
        <w:rPr>
          <w:rFonts w:ascii="Garamond" w:hAnsi="Garamond"/>
        </w:rPr>
        <w:t>ein zu hohes Leistungsbilanzdefizit</w:t>
      </w:r>
      <w:r>
        <w:rPr>
          <w:rFonts w:ascii="Garamond" w:hAnsi="Garamond"/>
        </w:rPr>
        <w:t xml:space="preserve"> oder -überschuss)</w:t>
      </w:r>
      <w:r w:rsidRPr="00191E82">
        <w:rPr>
          <w:rFonts w:ascii="Garamond" w:hAnsi="Garamond"/>
        </w:rPr>
        <w:t xml:space="preserve"> höher. Diese B</w:t>
      </w:r>
      <w:r>
        <w:rPr>
          <w:rFonts w:ascii="Garamond" w:hAnsi="Garamond"/>
        </w:rPr>
        <w:t>eiträge könnten zudem sukzessiv</w:t>
      </w:r>
      <w:r w:rsidRPr="00191E82">
        <w:rPr>
          <w:rFonts w:ascii="Garamond" w:hAnsi="Garamond"/>
        </w:rPr>
        <w:t xml:space="preserve"> ansteigen, sollte weiterhin eine nationale Politik betrieben werden, </w:t>
      </w:r>
      <w:r>
        <w:rPr>
          <w:rFonts w:ascii="Garamond" w:hAnsi="Garamond"/>
        </w:rPr>
        <w:t>welche</w:t>
      </w:r>
      <w:r w:rsidRPr="00191E82">
        <w:rPr>
          <w:rFonts w:ascii="Garamond" w:hAnsi="Garamond"/>
        </w:rPr>
        <w:t xml:space="preserve"> </w:t>
      </w:r>
      <w:r>
        <w:rPr>
          <w:rFonts w:ascii="Garamond" w:hAnsi="Garamond"/>
        </w:rPr>
        <w:t>die globalen systemischen Risiken erhöht</w:t>
      </w:r>
      <w:r w:rsidRPr="00191E82">
        <w:rPr>
          <w:rFonts w:ascii="Garamond" w:hAnsi="Garamond"/>
        </w:rPr>
        <w:t>. Damit sich die Staaten an diese Art von Versicherung beteiligen, könnte man</w:t>
      </w:r>
      <w:r>
        <w:rPr>
          <w:rFonts w:ascii="Garamond" w:hAnsi="Garamond"/>
        </w:rPr>
        <w:t xml:space="preserve"> nach Prasad die Mitgliedschaft im FSB</w:t>
      </w:r>
      <w:r w:rsidRPr="00191E82">
        <w:rPr>
          <w:rFonts w:ascii="Garamond" w:hAnsi="Garamond"/>
        </w:rPr>
        <w:t xml:space="preserve"> von dem Beitritt in diesen Versicherungsclub abhängig machen.</w:t>
      </w:r>
      <w:r w:rsidRPr="00191E82">
        <w:rPr>
          <w:rStyle w:val="FootnoteReference"/>
          <w:rFonts w:ascii="Garamond" w:hAnsi="Garamond"/>
        </w:rPr>
        <w:footnoteReference w:id="15"/>
      </w:r>
    </w:p>
    <w:p w:rsidR="000F58FF" w:rsidRPr="00191E82" w:rsidRDefault="000F58FF" w:rsidP="006975D2">
      <w:pPr>
        <w:pStyle w:val="Heading1"/>
        <w:spacing w:before="0"/>
      </w:pPr>
      <w:bookmarkStart w:id="21" w:name="_Toc156647783"/>
      <w:bookmarkStart w:id="22" w:name="_Toc156648409"/>
      <w:r>
        <w:t xml:space="preserve">Vorschläge für eine </w:t>
      </w:r>
      <w:r w:rsidRPr="00191E82">
        <w:t>neue globale</w:t>
      </w:r>
      <w:r>
        <w:t xml:space="preserve"> monetäre Architektur</w:t>
      </w:r>
      <w:bookmarkEnd w:id="21"/>
      <w:bookmarkEnd w:id="22"/>
    </w:p>
    <w:p w:rsidR="000F58FF" w:rsidRDefault="000F58FF" w:rsidP="006975D2">
      <w:pPr>
        <w:pStyle w:val="Heading2"/>
      </w:pPr>
      <w:bookmarkStart w:id="23" w:name="_Toc156647784"/>
      <w:bookmarkStart w:id="24" w:name="_Toc156648410"/>
      <w:r>
        <w:t>Kapitalverkehrskontrollen</w:t>
      </w:r>
      <w:bookmarkEnd w:id="23"/>
      <w:bookmarkEnd w:id="24"/>
    </w:p>
    <w:p w:rsidR="000F58FF" w:rsidRPr="00191E82" w:rsidRDefault="000F58FF" w:rsidP="000F58FF">
      <w:pPr>
        <w:pStyle w:val="ListParagraph"/>
        <w:spacing w:line="360" w:lineRule="auto"/>
        <w:ind w:left="0"/>
        <w:jc w:val="both"/>
        <w:rPr>
          <w:rFonts w:ascii="Garamond" w:hAnsi="Garamond"/>
        </w:rPr>
      </w:pPr>
      <w:r w:rsidRPr="00191E82">
        <w:rPr>
          <w:rFonts w:ascii="Garamond" w:hAnsi="Garamond"/>
        </w:rPr>
        <w:t>Mit seiner anstehenden Präsidentschaft in der G</w:t>
      </w:r>
      <w:r w:rsidR="004759CC">
        <w:rPr>
          <w:rFonts w:ascii="Garamond" w:hAnsi="Garamond"/>
        </w:rPr>
        <w:t>-</w:t>
      </w:r>
      <w:r w:rsidRPr="00191E82">
        <w:rPr>
          <w:rFonts w:ascii="Garamond" w:hAnsi="Garamond"/>
        </w:rPr>
        <w:t>20 kündigt</w:t>
      </w:r>
      <w:r>
        <w:rPr>
          <w:rFonts w:ascii="Garamond" w:hAnsi="Garamond"/>
        </w:rPr>
        <w:t>e</w:t>
      </w:r>
      <w:r w:rsidRPr="00191E82">
        <w:rPr>
          <w:rFonts w:ascii="Garamond" w:hAnsi="Garamond"/>
        </w:rPr>
        <w:t xml:space="preserve"> Frankreich an, für eine neue globale Währungsarchitek</w:t>
      </w:r>
      <w:r>
        <w:rPr>
          <w:rFonts w:ascii="Garamond" w:hAnsi="Garamond"/>
        </w:rPr>
        <w:t xml:space="preserve">tur einzustehen, die </w:t>
      </w:r>
      <w:r w:rsidRPr="00191E82">
        <w:rPr>
          <w:rFonts w:ascii="Garamond" w:hAnsi="Garamond"/>
        </w:rPr>
        <w:t>die Verankerung vom USD lockert. Die großen Schwankungen der Wechselkurse werden als fortwährendes Problem erachtet</w:t>
      </w:r>
      <w:r>
        <w:rPr>
          <w:rFonts w:ascii="Garamond" w:hAnsi="Garamond"/>
        </w:rPr>
        <w:t xml:space="preserve">. Eine </w:t>
      </w:r>
      <w:r w:rsidRPr="00191E82">
        <w:rPr>
          <w:rFonts w:ascii="Garamond" w:hAnsi="Garamond"/>
        </w:rPr>
        <w:t>Wiedereinführung von Kapitalkont</w:t>
      </w:r>
      <w:r>
        <w:rPr>
          <w:rFonts w:ascii="Garamond" w:hAnsi="Garamond"/>
        </w:rPr>
        <w:t>r</w:t>
      </w:r>
      <w:r w:rsidRPr="00191E82">
        <w:rPr>
          <w:rFonts w:ascii="Garamond" w:hAnsi="Garamond"/>
        </w:rPr>
        <w:t xml:space="preserve">ollen </w:t>
      </w:r>
      <w:r>
        <w:rPr>
          <w:rFonts w:ascii="Garamond" w:hAnsi="Garamond"/>
        </w:rPr>
        <w:t>hat das Ziel der Eindämmung des</w:t>
      </w:r>
      <w:r w:rsidRPr="00191E82">
        <w:rPr>
          <w:rFonts w:ascii="Garamond" w:hAnsi="Garamond"/>
        </w:rPr>
        <w:t xml:space="preserve"> gegenwärtig vorherrschenden </w:t>
      </w:r>
      <w:r>
        <w:rPr>
          <w:rFonts w:ascii="Garamond" w:hAnsi="Garamond"/>
        </w:rPr>
        <w:t xml:space="preserve">großen </w:t>
      </w:r>
      <w:r w:rsidRPr="00191E82">
        <w:rPr>
          <w:rFonts w:ascii="Garamond" w:hAnsi="Garamond"/>
        </w:rPr>
        <w:t>Umfang</w:t>
      </w:r>
      <w:r>
        <w:rPr>
          <w:rFonts w:ascii="Garamond" w:hAnsi="Garamond"/>
        </w:rPr>
        <w:t>s und die hohe</w:t>
      </w:r>
      <w:r w:rsidRPr="00191E82">
        <w:rPr>
          <w:rFonts w:ascii="Garamond" w:hAnsi="Garamond"/>
        </w:rPr>
        <w:t xml:space="preserve"> Volati</w:t>
      </w:r>
      <w:r>
        <w:rPr>
          <w:rFonts w:ascii="Garamond" w:hAnsi="Garamond"/>
        </w:rPr>
        <w:t>li</w:t>
      </w:r>
      <w:r w:rsidRPr="00191E82">
        <w:rPr>
          <w:rFonts w:ascii="Garamond" w:hAnsi="Garamond"/>
        </w:rPr>
        <w:t>tät von Kapitalflüssen.</w:t>
      </w:r>
      <w:r w:rsidRPr="00191E82">
        <w:rPr>
          <w:rStyle w:val="FootnoteReference"/>
          <w:rFonts w:ascii="Garamond" w:hAnsi="Garamond"/>
        </w:rPr>
        <w:footnoteReference w:id="16"/>
      </w:r>
      <w:r w:rsidRPr="00191E82">
        <w:rPr>
          <w:rFonts w:ascii="Garamond" w:hAnsi="Garamond"/>
        </w:rPr>
        <w:t xml:space="preserve"> Ein weiterer Vorschlag wäre die Einführung einer globalen Finanzmarkttransaktionssteuer, dessen Ziel es ist, spekulative Kapitalflüsse einzudämmen und die Risiken der hohen Vol</w:t>
      </w:r>
      <w:r>
        <w:rPr>
          <w:rFonts w:ascii="Garamond" w:hAnsi="Garamond"/>
        </w:rPr>
        <w:t>a</w:t>
      </w:r>
      <w:r w:rsidRPr="00191E82">
        <w:rPr>
          <w:rFonts w:ascii="Garamond" w:hAnsi="Garamond"/>
        </w:rPr>
        <w:t>tilität zu mindern. Ungeklärt ist bei diesen Vorschlägen jedoch die Frage, in wieweit nicht auch andere (kurzfris</w:t>
      </w:r>
      <w:r>
        <w:rPr>
          <w:rFonts w:ascii="Garamond" w:hAnsi="Garamond"/>
        </w:rPr>
        <w:t>ti</w:t>
      </w:r>
      <w:r w:rsidRPr="00191E82">
        <w:rPr>
          <w:rFonts w:ascii="Garamond" w:hAnsi="Garamond"/>
        </w:rPr>
        <w:t>ge) Kapitalflüsse advers betroffen sein werden. Erfahrungswerte zu den Effekten einer globalen Tobin-Steuer gibt es nicht. Die gegenwärtige Größe und Tiefe der Finanzmärk</w:t>
      </w:r>
      <w:r>
        <w:rPr>
          <w:rFonts w:ascii="Garamond" w:hAnsi="Garamond"/>
        </w:rPr>
        <w:t>t</w:t>
      </w:r>
      <w:r w:rsidRPr="00191E82">
        <w:rPr>
          <w:rFonts w:ascii="Garamond" w:hAnsi="Garamond"/>
        </w:rPr>
        <w:t>e würde durch eine Einführung von Kapitalkontrollen drastisch reduziert, da eine ihrer zen</w:t>
      </w:r>
      <w:r>
        <w:rPr>
          <w:rFonts w:ascii="Garamond" w:hAnsi="Garamond"/>
        </w:rPr>
        <w:t xml:space="preserve">tralen Aufgaben darin besteht </w:t>
      </w:r>
      <w:r w:rsidRPr="00191E82">
        <w:rPr>
          <w:rFonts w:ascii="Garamond" w:hAnsi="Garamond"/>
        </w:rPr>
        <w:t xml:space="preserve">die hervorgerufenen Risiken abzusichern. </w:t>
      </w:r>
    </w:p>
    <w:p w:rsidR="000F58FF" w:rsidRPr="00191E82" w:rsidRDefault="000F58FF" w:rsidP="006975D2">
      <w:pPr>
        <w:pStyle w:val="Heading2"/>
      </w:pPr>
      <w:bookmarkStart w:id="25" w:name="_Toc156647785"/>
      <w:bookmarkStart w:id="26" w:name="_Toc156648411"/>
      <w:r w:rsidRPr="00191E82">
        <w:t>Zoellick: „Goldstandard“</w:t>
      </w:r>
      <w:bookmarkEnd w:id="25"/>
      <w:bookmarkEnd w:id="26"/>
    </w:p>
    <w:p w:rsidR="000F58FF" w:rsidRDefault="000F58FF" w:rsidP="000F58FF">
      <w:pPr>
        <w:pStyle w:val="ListParagraph"/>
        <w:spacing w:line="360" w:lineRule="auto"/>
        <w:ind w:left="0"/>
        <w:jc w:val="both"/>
        <w:rPr>
          <w:rFonts w:ascii="Garamond" w:hAnsi="Garamond"/>
        </w:rPr>
      </w:pPr>
      <w:r w:rsidRPr="00191E82">
        <w:rPr>
          <w:rFonts w:ascii="Garamond" w:hAnsi="Garamond"/>
        </w:rPr>
        <w:t>Robert Zoellick, Präsident der Weltbank, fordert von den G</w:t>
      </w:r>
      <w:r w:rsidR="004759CC">
        <w:rPr>
          <w:rFonts w:ascii="Garamond" w:hAnsi="Garamond"/>
        </w:rPr>
        <w:t>-</w:t>
      </w:r>
      <w:r w:rsidRPr="00191E82">
        <w:rPr>
          <w:rFonts w:ascii="Garamond" w:hAnsi="Garamond"/>
        </w:rPr>
        <w:t>20-Staaten ein Konzept für ein n</w:t>
      </w:r>
      <w:r>
        <w:rPr>
          <w:rFonts w:ascii="Garamond" w:hAnsi="Garamond"/>
        </w:rPr>
        <w:t>eues Währungssystem. A</w:t>
      </w:r>
      <w:r w:rsidRPr="00191E82">
        <w:rPr>
          <w:rFonts w:ascii="Garamond" w:hAnsi="Garamond"/>
        </w:rPr>
        <w:t>n dieses System</w:t>
      </w:r>
      <w:r>
        <w:rPr>
          <w:rFonts w:ascii="Garamond" w:hAnsi="Garamond"/>
        </w:rPr>
        <w:t xml:space="preserve"> müssten</w:t>
      </w:r>
      <w:r w:rsidRPr="00191E82">
        <w:rPr>
          <w:rFonts w:ascii="Garamond" w:hAnsi="Garamond"/>
        </w:rPr>
        <w:t xml:space="preserve"> der </w:t>
      </w:r>
      <w:r>
        <w:rPr>
          <w:rFonts w:ascii="Garamond" w:hAnsi="Garamond"/>
        </w:rPr>
        <w:t>USD</w:t>
      </w:r>
      <w:r w:rsidRPr="00191E82">
        <w:rPr>
          <w:rFonts w:ascii="Garamond" w:hAnsi="Garamond"/>
        </w:rPr>
        <w:t>, der Euro, der Yen, das britische Pfund und der chinesische Renminbi</w:t>
      </w:r>
      <w:r>
        <w:rPr>
          <w:rFonts w:ascii="Garamond" w:hAnsi="Garamond"/>
        </w:rPr>
        <w:t xml:space="preserve"> gekoppelt werden.</w:t>
      </w:r>
      <w:r w:rsidRPr="00191E82">
        <w:rPr>
          <w:rFonts w:ascii="Garamond" w:hAnsi="Garamond"/>
        </w:rPr>
        <w:t xml:space="preserve"> Das System sollte Gold als einen internationalen Bezugspunkt für Markterwartungen zu Inflation, Deflation und künftigem Währungswert einführen, welches </w:t>
      </w:r>
      <w:r>
        <w:rPr>
          <w:rFonts w:ascii="Garamond" w:hAnsi="Garamond"/>
        </w:rPr>
        <w:t>es laut Zoellick</w:t>
      </w:r>
      <w:r w:rsidRPr="00191E82">
        <w:rPr>
          <w:rFonts w:ascii="Garamond" w:hAnsi="Garamond"/>
        </w:rPr>
        <w:t xml:space="preserve"> aufgrund der schlechten Wachstumszahlen weltweit (mit Ausnahme der BRIC) schon ist. </w:t>
      </w:r>
    </w:p>
    <w:p w:rsidR="000F58FF" w:rsidRDefault="000F58FF" w:rsidP="006975D2">
      <w:pPr>
        <w:pStyle w:val="Heading2"/>
      </w:pPr>
      <w:bookmarkStart w:id="27" w:name="_Toc156647786"/>
      <w:bookmarkStart w:id="28" w:name="_Toc156648412"/>
      <w:r w:rsidRPr="000D395D">
        <w:t>Neue Rolle des IWF (LLR) und</w:t>
      </w:r>
      <w:r>
        <w:t xml:space="preserve"> der</w:t>
      </w:r>
      <w:r w:rsidRPr="000D395D">
        <w:t xml:space="preserve"> G</w:t>
      </w:r>
      <w:r w:rsidR="004759CC">
        <w:t>-</w:t>
      </w:r>
      <w:r w:rsidRPr="000D395D">
        <w:t>20</w:t>
      </w:r>
      <w:bookmarkEnd w:id="27"/>
      <w:bookmarkEnd w:id="28"/>
    </w:p>
    <w:p w:rsidR="000F58FF" w:rsidRPr="00E61025" w:rsidRDefault="000F58FF" w:rsidP="000F58FF">
      <w:pPr>
        <w:pStyle w:val="ListParagraph"/>
        <w:spacing w:line="360" w:lineRule="auto"/>
        <w:ind w:left="0"/>
        <w:jc w:val="both"/>
        <w:rPr>
          <w:rFonts w:ascii="Garamond" w:hAnsi="Garamond"/>
          <w:szCs w:val="24"/>
        </w:rPr>
      </w:pPr>
      <w:r w:rsidRPr="00E61025">
        <w:rPr>
          <w:rFonts w:ascii="Garamond" w:hAnsi="Garamond"/>
        </w:rPr>
        <w:t xml:space="preserve">Die Staaten der G-20, welches als informelles Forum begann, haben sich bei der Aufarbeitung der Finanz- und Wirtschaftskrise als zentrales Forum für die Diskussion und Ausarbeitung der mit der Krise entstandenen Probleme etabliert. Durch die Ausweitung der G-8 auf die G-20 wurde den Schwellenländern, die zuvor in der Gruppe der G-8 nicht </w:t>
      </w:r>
      <w:r>
        <w:rPr>
          <w:rFonts w:ascii="Garamond" w:hAnsi="Garamond"/>
        </w:rPr>
        <w:t>vertreten</w:t>
      </w:r>
      <w:r w:rsidRPr="00E61025">
        <w:rPr>
          <w:rFonts w:ascii="Garamond" w:hAnsi="Garamond"/>
        </w:rPr>
        <w:t xml:space="preserve"> waren, eine neues Stimmengewicht in Fragen der internationalen Finanz- und Wir</w:t>
      </w:r>
      <w:r>
        <w:rPr>
          <w:rFonts w:ascii="Garamond" w:hAnsi="Garamond"/>
        </w:rPr>
        <w:t>tschaftsordnung verliehen, wodurch sich eine Machtverschiebung innerhalb der</w:t>
      </w:r>
      <w:r w:rsidRPr="00E61025">
        <w:rPr>
          <w:rFonts w:ascii="Garamond" w:hAnsi="Garamond"/>
        </w:rPr>
        <w:t xml:space="preserve"> int</w:t>
      </w:r>
      <w:r>
        <w:rPr>
          <w:rFonts w:ascii="Garamond" w:hAnsi="Garamond"/>
        </w:rPr>
        <w:t>ernationale Staatengemeinschaft manifestiert.</w:t>
      </w:r>
      <w:r w:rsidRPr="00E61025">
        <w:rPr>
          <w:rStyle w:val="FootnoteReference"/>
          <w:rFonts w:ascii="Garamond" w:hAnsi="Garamond"/>
        </w:rPr>
        <w:footnoteReference w:id="17"/>
      </w:r>
      <w:r w:rsidRPr="00E61025">
        <w:rPr>
          <w:rFonts w:ascii="Garamond" w:hAnsi="Garamond"/>
        </w:rPr>
        <w:t xml:space="preserve"> Die G-20-Staaten selbst bezeichnen sich als "premier forum for our international economic cooperation."</w:t>
      </w:r>
      <w:r w:rsidRPr="00E61025">
        <w:rPr>
          <w:rStyle w:val="FootnoteReference"/>
          <w:rFonts w:ascii="Garamond" w:hAnsi="Garamond"/>
        </w:rPr>
        <w:footnoteReference w:id="18"/>
      </w:r>
      <w:r w:rsidRPr="00E61025">
        <w:rPr>
          <w:rFonts w:ascii="Garamond" w:hAnsi="Garamond"/>
        </w:rPr>
        <w:t xml:space="preserve"> Die multilaterale Kooperation unter Berücksichtigung von Schwellen- und Entwicklungsländern hat sich in den vergangen drei Jahren ausgeweitet. Jedoch ist die G-20 ein Papiertiger. Auch wenn sich die G-20-Staaten über gewisse Politikmaßnahmen ein</w:t>
      </w:r>
      <w:r>
        <w:rPr>
          <w:rFonts w:ascii="Garamond" w:hAnsi="Garamond"/>
        </w:rPr>
        <w:t>ig sind, so bedeutet dies keineswegs auch eine nationale Umsetzung dieser Maßnahmen</w:t>
      </w:r>
      <w:r w:rsidRPr="00E61025">
        <w:rPr>
          <w:rFonts w:ascii="Garamond" w:hAnsi="Garamond"/>
        </w:rPr>
        <w:t xml:space="preserve">, da </w:t>
      </w:r>
      <w:r>
        <w:rPr>
          <w:rFonts w:ascii="Garamond" w:hAnsi="Garamond"/>
        </w:rPr>
        <w:t>denen meist die</w:t>
      </w:r>
      <w:r w:rsidRPr="00E61025">
        <w:rPr>
          <w:rFonts w:ascii="Garamond" w:hAnsi="Garamond"/>
        </w:rPr>
        <w:t xml:space="preserve"> nationale</w:t>
      </w:r>
      <w:r>
        <w:rPr>
          <w:rFonts w:ascii="Garamond" w:hAnsi="Garamond"/>
        </w:rPr>
        <w:t>n</w:t>
      </w:r>
      <w:r w:rsidRPr="00E61025">
        <w:rPr>
          <w:rFonts w:ascii="Garamond" w:hAnsi="Garamond"/>
        </w:rPr>
        <w:t xml:space="preserve"> Parlament</w:t>
      </w:r>
      <w:r>
        <w:rPr>
          <w:rFonts w:ascii="Garamond" w:hAnsi="Garamond"/>
        </w:rPr>
        <w:t>e</w:t>
      </w:r>
      <w:r w:rsidRPr="00E61025">
        <w:rPr>
          <w:rFonts w:ascii="Garamond" w:hAnsi="Garamond"/>
        </w:rPr>
        <w:t xml:space="preserve"> zustimmen </w:t>
      </w:r>
      <w:r>
        <w:rPr>
          <w:rFonts w:ascii="Garamond" w:hAnsi="Garamond"/>
        </w:rPr>
        <w:t>müssen</w:t>
      </w:r>
      <w:r w:rsidRPr="00E61025">
        <w:rPr>
          <w:rFonts w:ascii="Garamond" w:hAnsi="Garamond"/>
        </w:rPr>
        <w:t>.</w:t>
      </w:r>
      <w:r>
        <w:rPr>
          <w:rFonts w:ascii="Garamond" w:hAnsi="Garamond"/>
        </w:rPr>
        <w:t xml:space="preserve"> D</w:t>
      </w:r>
      <w:r w:rsidRPr="00E61025">
        <w:rPr>
          <w:rFonts w:ascii="Garamond" w:hAnsi="Garamond"/>
        </w:rPr>
        <w:t>er IWF</w:t>
      </w:r>
      <w:r>
        <w:rPr>
          <w:rFonts w:ascii="Garamond" w:hAnsi="Garamond"/>
        </w:rPr>
        <w:t xml:space="preserve"> soll</w:t>
      </w:r>
      <w:r w:rsidRPr="00E61025">
        <w:rPr>
          <w:rFonts w:ascii="Garamond" w:hAnsi="Garamond"/>
        </w:rPr>
        <w:t xml:space="preserve"> eine stärkere Position in der internationalen Finanzarchitektur </w:t>
      </w:r>
      <w:r>
        <w:rPr>
          <w:rFonts w:ascii="Garamond" w:hAnsi="Garamond"/>
        </w:rPr>
        <w:t>bekommen</w:t>
      </w:r>
      <w:r w:rsidRPr="00E61025">
        <w:rPr>
          <w:rFonts w:ascii="Garamond" w:hAnsi="Garamond"/>
        </w:rPr>
        <w:t xml:space="preserve">. </w:t>
      </w:r>
      <w:r>
        <w:rPr>
          <w:rFonts w:ascii="Garamond" w:hAnsi="Garamond"/>
        </w:rPr>
        <w:t xml:space="preserve">Anzuführen sind die übertragenen Verantwortungen in der Koordinierung des MAP. </w:t>
      </w:r>
      <w:r w:rsidRPr="00E61025">
        <w:rPr>
          <w:rFonts w:ascii="Garamond" w:hAnsi="Garamond"/>
        </w:rPr>
        <w:t>Darüber</w:t>
      </w:r>
      <w:r>
        <w:rPr>
          <w:rFonts w:ascii="Garamond" w:hAnsi="Garamond"/>
        </w:rPr>
        <w:t xml:space="preserve"> </w:t>
      </w:r>
      <w:r w:rsidRPr="00E61025">
        <w:rPr>
          <w:rFonts w:ascii="Garamond" w:hAnsi="Garamond"/>
        </w:rPr>
        <w:t xml:space="preserve">hinaus hat der IWF-Exekutivrat am 05.11.2010 </w:t>
      </w:r>
      <w:r>
        <w:rPr>
          <w:rFonts w:ascii="Garamond" w:hAnsi="Garamond"/>
        </w:rPr>
        <w:t>entschieden</w:t>
      </w:r>
      <w:r w:rsidRPr="00E61025">
        <w:rPr>
          <w:rFonts w:ascii="Garamond" w:hAnsi="Garamond"/>
        </w:rPr>
        <w:t xml:space="preserve"> die Stimmgewichte zugunsten der Schwellenländer China, </w:t>
      </w:r>
      <w:r>
        <w:rPr>
          <w:rFonts w:ascii="Garamond" w:hAnsi="Garamond"/>
        </w:rPr>
        <w:t>Indien und Brasilien zu verschieben</w:t>
      </w:r>
      <w:r w:rsidRPr="00E61025">
        <w:rPr>
          <w:rFonts w:ascii="Garamond" w:hAnsi="Garamond"/>
        </w:rPr>
        <w:t>. Durch diese Neuordnung wird dem wachsenden Gewicht der Schwellenländer in der Weltwirtschaft Rechnung getragen.</w:t>
      </w:r>
      <w:r w:rsidRPr="00E61025">
        <w:rPr>
          <w:rStyle w:val="FootnoteReference"/>
          <w:rFonts w:ascii="Garamond" w:hAnsi="Garamond"/>
        </w:rPr>
        <w:footnoteReference w:id="19"/>
      </w:r>
      <w:r w:rsidRPr="00E61025">
        <w:rPr>
          <w:rFonts w:ascii="Garamond" w:hAnsi="Garamond"/>
        </w:rPr>
        <w:t xml:space="preserve"> Dem </w:t>
      </w:r>
      <w:r w:rsidRPr="002C43CD">
        <w:rPr>
          <w:rFonts w:ascii="Garamond" w:hAnsi="Garamond"/>
        </w:rPr>
        <w:t>gegenüber steht jedoch ein weiterer fundamentaler Reformbedarf, da der IWF ein</w:t>
      </w:r>
      <w:r w:rsidRPr="002C43CD">
        <w:rPr>
          <w:rFonts w:ascii="Garamond" w:hAnsi="Garamond"/>
          <w:szCs w:val="24"/>
        </w:rPr>
        <w:t xml:space="preserve"> Glaubwürdigkeitsproblem hat</w:t>
      </w:r>
      <w:r>
        <w:rPr>
          <w:rFonts w:ascii="Garamond" w:hAnsi="Garamond"/>
          <w:szCs w:val="24"/>
        </w:rPr>
        <w:t xml:space="preserve">. Die USA bekleidet immer </w:t>
      </w:r>
      <w:r w:rsidRPr="002C43CD">
        <w:rPr>
          <w:rFonts w:ascii="Garamond" w:hAnsi="Garamond"/>
          <w:szCs w:val="24"/>
        </w:rPr>
        <w:t>noch ihre Vetoposition und kann somit alle wichtigen Entscheidungen blockieren. Darüber hinaus belegen e</w:t>
      </w:r>
      <w:r>
        <w:rPr>
          <w:rFonts w:ascii="Garamond" w:hAnsi="Garamond"/>
          <w:szCs w:val="24"/>
        </w:rPr>
        <w:t>mpirische Studien</w:t>
      </w:r>
      <w:r w:rsidRPr="002C43CD">
        <w:rPr>
          <w:rFonts w:ascii="Garamond" w:hAnsi="Garamond"/>
          <w:szCs w:val="24"/>
        </w:rPr>
        <w:t xml:space="preserve">, </w:t>
      </w:r>
      <w:r>
        <w:rPr>
          <w:rFonts w:ascii="Garamond" w:hAnsi="Garamond"/>
          <w:szCs w:val="24"/>
        </w:rPr>
        <w:t>eine Einflussnahme der</w:t>
      </w:r>
      <w:r w:rsidRPr="002C43CD">
        <w:rPr>
          <w:rFonts w:ascii="Garamond" w:hAnsi="Garamond"/>
          <w:szCs w:val="24"/>
        </w:rPr>
        <w:t xml:space="preserve"> USA </w:t>
      </w:r>
      <w:r>
        <w:rPr>
          <w:rFonts w:ascii="Garamond" w:hAnsi="Garamond"/>
          <w:szCs w:val="24"/>
        </w:rPr>
        <w:t xml:space="preserve">und </w:t>
      </w:r>
      <w:r w:rsidRPr="002C43CD">
        <w:rPr>
          <w:rFonts w:ascii="Garamond" w:hAnsi="Garamond"/>
          <w:szCs w:val="24"/>
        </w:rPr>
        <w:t>andere</w:t>
      </w:r>
      <w:r>
        <w:rPr>
          <w:rFonts w:ascii="Garamond" w:hAnsi="Garamond"/>
          <w:szCs w:val="24"/>
        </w:rPr>
        <w:t>r</w:t>
      </w:r>
      <w:r w:rsidRPr="002C43CD">
        <w:rPr>
          <w:rFonts w:ascii="Garamond" w:hAnsi="Garamond"/>
          <w:szCs w:val="24"/>
        </w:rPr>
        <w:t xml:space="preserve"> G-7-</w:t>
      </w:r>
      <w:r>
        <w:rPr>
          <w:rFonts w:ascii="Garamond" w:hAnsi="Garamond"/>
          <w:szCs w:val="24"/>
        </w:rPr>
        <w:t>Staaten</w:t>
      </w:r>
      <w:r w:rsidRPr="002C43CD">
        <w:rPr>
          <w:rFonts w:ascii="Garamond" w:hAnsi="Garamond"/>
          <w:szCs w:val="24"/>
        </w:rPr>
        <w:t xml:space="preserve"> auf </w:t>
      </w:r>
      <w:r>
        <w:rPr>
          <w:rFonts w:ascii="Garamond" w:hAnsi="Garamond"/>
          <w:szCs w:val="24"/>
        </w:rPr>
        <w:t>die IWF-Kreditkonditionen</w:t>
      </w:r>
      <w:r w:rsidRPr="002C43CD">
        <w:rPr>
          <w:rFonts w:ascii="Garamond" w:hAnsi="Garamond"/>
          <w:szCs w:val="24"/>
        </w:rPr>
        <w:t xml:space="preserve"> und</w:t>
      </w:r>
      <w:r>
        <w:rPr>
          <w:rFonts w:ascii="Garamond" w:hAnsi="Garamond"/>
          <w:szCs w:val="24"/>
        </w:rPr>
        <w:t xml:space="preserve"> somit</w:t>
      </w:r>
      <w:r w:rsidRPr="002C43CD">
        <w:rPr>
          <w:rFonts w:ascii="Garamond" w:hAnsi="Garamond"/>
          <w:szCs w:val="24"/>
        </w:rPr>
        <w:t xml:space="preserve"> z.B. schwächere Kreditkonditionen genossen.</w:t>
      </w:r>
      <w:r w:rsidRPr="002C43CD">
        <w:rPr>
          <w:rStyle w:val="FootnoteReference"/>
          <w:rFonts w:ascii="Garamond" w:hAnsi="Garamond"/>
          <w:szCs w:val="24"/>
        </w:rPr>
        <w:footnoteReference w:id="20"/>
      </w:r>
      <w:r w:rsidRPr="00E61025">
        <w:rPr>
          <w:rFonts w:ascii="Garamond" w:hAnsi="Garamond"/>
          <w:szCs w:val="24"/>
        </w:rPr>
        <w:t xml:space="preserve"> Es lässt sich festhalten, dass die Mitgliedsländer mit dem höheren Stimmgewichten im Prinzip ihre eigenen politischen Interessen vertreten und letztendlich die </w:t>
      </w:r>
      <w:r>
        <w:rPr>
          <w:rFonts w:ascii="Garamond" w:hAnsi="Garamond"/>
          <w:szCs w:val="24"/>
        </w:rPr>
        <w:t>Rolle</w:t>
      </w:r>
      <w:r w:rsidRPr="00E61025">
        <w:rPr>
          <w:rFonts w:ascii="Garamond" w:hAnsi="Garamond"/>
          <w:szCs w:val="24"/>
        </w:rPr>
        <w:t xml:space="preserve"> des IWFs schwächen.</w:t>
      </w:r>
    </w:p>
    <w:p w:rsidR="000F58FF" w:rsidRPr="00281B9C" w:rsidRDefault="000F58FF" w:rsidP="006975D2">
      <w:pPr>
        <w:pStyle w:val="Heading2"/>
        <w:spacing w:before="120"/>
      </w:pPr>
      <w:bookmarkStart w:id="29" w:name="_Toc156647787"/>
      <w:bookmarkStart w:id="30" w:name="_Toc156648413"/>
      <w:r>
        <w:t>Alternative Leitwährungen zum US-Dollar</w:t>
      </w:r>
      <w:bookmarkEnd w:id="29"/>
      <w:bookmarkEnd w:id="30"/>
    </w:p>
    <w:p w:rsidR="000F58FF" w:rsidRDefault="000F58FF" w:rsidP="000F58FF">
      <w:pPr>
        <w:pStyle w:val="ListParagraph"/>
        <w:spacing w:line="360" w:lineRule="auto"/>
        <w:ind w:left="0"/>
        <w:jc w:val="both"/>
        <w:rPr>
          <w:rFonts w:ascii="Garamond" w:hAnsi="Garamond"/>
        </w:rPr>
      </w:pPr>
      <w:r w:rsidRPr="00E61025">
        <w:rPr>
          <w:rFonts w:ascii="Garamond" w:hAnsi="Garamond"/>
        </w:rPr>
        <w:t>Im Folg</w:t>
      </w:r>
      <w:r>
        <w:rPr>
          <w:rFonts w:ascii="Garamond" w:hAnsi="Garamond"/>
        </w:rPr>
        <w:t xml:space="preserve">enden sollen drei Alternativen </w:t>
      </w:r>
      <w:r w:rsidRPr="00E61025">
        <w:rPr>
          <w:rFonts w:ascii="Garamond" w:hAnsi="Garamond"/>
        </w:rPr>
        <w:t>zum USD als Weltwährungsreserve erläutert werden:</w:t>
      </w:r>
    </w:p>
    <w:p w:rsidR="000F58FF" w:rsidRPr="002E2270" w:rsidRDefault="000F58FF" w:rsidP="000F58FF">
      <w:pPr>
        <w:pStyle w:val="ListParagraph"/>
        <w:spacing w:line="360" w:lineRule="auto"/>
        <w:ind w:left="0"/>
        <w:jc w:val="both"/>
        <w:rPr>
          <w:rFonts w:ascii="Garamond" w:hAnsi="Garamond"/>
        </w:rPr>
      </w:pPr>
      <w:r w:rsidRPr="002E2270">
        <w:rPr>
          <w:rFonts w:ascii="Garamond" w:hAnsi="Garamond"/>
        </w:rPr>
        <w:t>Die Sonderziehungsrechte (SDR) sind eine vom dem IWF 1969 eingeführte künstliche Währungseinheit, dessen Wechselkurs durch einen Währungskorb mit den vier wichtigsten Weltwährungen (dem Euro, Japanischer Yen, britischen Pfund und dem USD) fortlaufend ermittelt</w:t>
      </w:r>
      <w:r>
        <w:rPr>
          <w:rFonts w:ascii="Garamond" w:hAnsi="Garamond"/>
        </w:rPr>
        <w:t xml:space="preserve"> wird:</w:t>
      </w:r>
      <w:r w:rsidRPr="002C43CD">
        <w:rPr>
          <w:rStyle w:val="FootnoteReference"/>
          <w:szCs w:val="24"/>
        </w:rPr>
        <w:footnoteReference w:id="21"/>
      </w:r>
      <w:r w:rsidRPr="002E2270">
        <w:rPr>
          <w:rFonts w:ascii="Garamond" w:hAnsi="Garamond"/>
        </w:rPr>
        <w:t xml:space="preserve"> </w:t>
      </w:r>
      <w:r>
        <w:rPr>
          <w:rFonts w:ascii="Garamond" w:hAnsi="Garamond"/>
        </w:rPr>
        <w:t xml:space="preserve">Der Vorteil </w:t>
      </w:r>
      <w:r w:rsidRPr="002E2270">
        <w:rPr>
          <w:rFonts w:ascii="Garamond" w:hAnsi="Garamond"/>
        </w:rPr>
        <w:t>der SDR liegt</w:t>
      </w:r>
      <w:r>
        <w:rPr>
          <w:rFonts w:ascii="Garamond" w:hAnsi="Garamond"/>
        </w:rPr>
        <w:t xml:space="preserve"> in der unabhängigen Emittierung durch den Gouverneursrat des IWF. Dadurch ist </w:t>
      </w:r>
      <w:r w:rsidRPr="002E2270">
        <w:rPr>
          <w:rFonts w:ascii="Garamond" w:hAnsi="Garamond"/>
        </w:rPr>
        <w:t xml:space="preserve">das Angebot an SDR </w:t>
      </w:r>
      <w:r>
        <w:rPr>
          <w:rFonts w:ascii="Garamond" w:hAnsi="Garamond"/>
        </w:rPr>
        <w:t>recht</w:t>
      </w:r>
      <w:r w:rsidRPr="002E2270">
        <w:rPr>
          <w:rFonts w:ascii="Garamond" w:hAnsi="Garamond"/>
        </w:rPr>
        <w:t xml:space="preserve"> unabh</w:t>
      </w:r>
      <w:r>
        <w:rPr>
          <w:rFonts w:ascii="Garamond" w:hAnsi="Garamond"/>
        </w:rPr>
        <w:t xml:space="preserve">ängig von nationalen Interessen. Dies wird durch die weitere Emittierung von SDR </w:t>
      </w:r>
      <w:r w:rsidRPr="002E2270">
        <w:rPr>
          <w:rFonts w:ascii="Garamond" w:hAnsi="Garamond"/>
        </w:rPr>
        <w:t xml:space="preserve">im Wert von $ 250 Milliarden </w:t>
      </w:r>
      <w:r>
        <w:rPr>
          <w:rFonts w:ascii="Garamond" w:hAnsi="Garamond"/>
        </w:rPr>
        <w:t>durch die</w:t>
      </w:r>
      <w:r w:rsidRPr="002E2270">
        <w:rPr>
          <w:rFonts w:ascii="Garamond" w:hAnsi="Garamond"/>
        </w:rPr>
        <w:t xml:space="preserve"> G-20-Staaten </w:t>
      </w:r>
      <w:r>
        <w:rPr>
          <w:rFonts w:ascii="Garamond" w:hAnsi="Garamond"/>
        </w:rPr>
        <w:t xml:space="preserve">2009 bestätigt. Die </w:t>
      </w:r>
      <w:r w:rsidRPr="002E2270">
        <w:rPr>
          <w:rFonts w:ascii="Garamond" w:hAnsi="Garamond"/>
        </w:rPr>
        <w:t>Zentralbanken (ZB)</w:t>
      </w:r>
      <w:r>
        <w:rPr>
          <w:rFonts w:ascii="Garamond" w:hAnsi="Garamond"/>
        </w:rPr>
        <w:t xml:space="preserve"> können</w:t>
      </w:r>
      <w:r w:rsidRPr="002E2270">
        <w:rPr>
          <w:rFonts w:ascii="Garamond" w:hAnsi="Garamond"/>
        </w:rPr>
        <w:t xml:space="preserve"> bei der nächsten Krise </w:t>
      </w:r>
      <w:r>
        <w:rPr>
          <w:rFonts w:ascii="Garamond" w:hAnsi="Garamond"/>
        </w:rPr>
        <w:t xml:space="preserve">auf </w:t>
      </w:r>
      <w:r w:rsidRPr="002E2270">
        <w:rPr>
          <w:rFonts w:ascii="Garamond" w:hAnsi="Garamond"/>
        </w:rPr>
        <w:t>zusätz</w:t>
      </w:r>
      <w:r>
        <w:rPr>
          <w:rFonts w:ascii="Garamond" w:hAnsi="Garamond"/>
        </w:rPr>
        <w:t>liche Liquidität zurückgreifen.</w:t>
      </w:r>
      <w:r w:rsidRPr="00ED33E9">
        <w:rPr>
          <w:rStyle w:val="FootnoteReference"/>
          <w:szCs w:val="24"/>
        </w:rPr>
        <w:t>.</w:t>
      </w:r>
      <w:r w:rsidRPr="00ED33E9">
        <w:rPr>
          <w:rStyle w:val="FootnoteReference"/>
          <w:szCs w:val="24"/>
        </w:rPr>
        <w:footnoteReference w:id="22"/>
      </w:r>
      <w:r w:rsidRPr="002E2270">
        <w:rPr>
          <w:rFonts w:ascii="Garamond" w:hAnsi="Garamond"/>
        </w:rPr>
        <w:t xml:space="preserve"> Dem gegenüber </w:t>
      </w:r>
      <w:r>
        <w:rPr>
          <w:rFonts w:ascii="Garamond" w:hAnsi="Garamond"/>
        </w:rPr>
        <w:t>steht eine Reihe von Nacht</w:t>
      </w:r>
      <w:r w:rsidRPr="002E2270">
        <w:rPr>
          <w:rFonts w:ascii="Garamond" w:hAnsi="Garamond"/>
        </w:rPr>
        <w:t>eilen</w:t>
      </w:r>
      <w:r>
        <w:rPr>
          <w:rFonts w:ascii="Garamond" w:hAnsi="Garamond"/>
        </w:rPr>
        <w:t>:</w:t>
      </w:r>
      <w:r w:rsidRPr="002C43CD">
        <w:rPr>
          <w:rStyle w:val="FootnoteReference"/>
          <w:szCs w:val="24"/>
        </w:rPr>
        <w:footnoteReference w:id="23"/>
      </w:r>
      <w:r w:rsidRPr="002C43CD">
        <w:rPr>
          <w:rStyle w:val="FootnoteReference"/>
          <w:szCs w:val="24"/>
        </w:rPr>
        <w:t>:</w:t>
      </w:r>
    </w:p>
    <w:p w:rsidR="000F58FF" w:rsidRPr="00E61025" w:rsidRDefault="000F58FF" w:rsidP="000F58FF">
      <w:pPr>
        <w:pStyle w:val="ListParagraph"/>
        <w:numPr>
          <w:ilvl w:val="0"/>
          <w:numId w:val="32"/>
        </w:numPr>
        <w:spacing w:after="0" w:line="360" w:lineRule="auto"/>
        <w:rPr>
          <w:rFonts w:ascii="Garamond" w:hAnsi="Garamond"/>
        </w:rPr>
      </w:pPr>
      <w:r w:rsidRPr="00E61025">
        <w:rPr>
          <w:rFonts w:ascii="Garamond" w:hAnsi="Garamond"/>
        </w:rPr>
        <w:t xml:space="preserve">Möchte eine ZB eine Allokation von Währungsreserven wie sie im Währungskorb für die SDR zu finden ist, so kann sie diese auch ohne die SDR erlangen. </w:t>
      </w:r>
    </w:p>
    <w:p w:rsidR="000F58FF" w:rsidRPr="00E61025" w:rsidRDefault="000F58FF" w:rsidP="006975D2">
      <w:pPr>
        <w:pStyle w:val="ListParagraph"/>
        <w:numPr>
          <w:ilvl w:val="0"/>
          <w:numId w:val="32"/>
        </w:numPr>
        <w:spacing w:after="0" w:line="360" w:lineRule="auto"/>
        <w:jc w:val="both"/>
        <w:rPr>
          <w:rFonts w:ascii="Garamond" w:hAnsi="Garamond"/>
        </w:rPr>
      </w:pPr>
      <w:r w:rsidRPr="00E61025">
        <w:rPr>
          <w:rFonts w:ascii="Garamond" w:hAnsi="Garamond"/>
        </w:rPr>
        <w:t>Die Geldschöpfung durch SDR hat ihre Beschränkungen. Fraglich ist, ob die ZB ihre Kompetenzen der Geldschöpfung aus der Hand geben wollen.</w:t>
      </w:r>
      <w:r w:rsidRPr="00E61025">
        <w:rPr>
          <w:rStyle w:val="FootnoteReference"/>
          <w:rFonts w:ascii="Garamond" w:hAnsi="Garamond"/>
        </w:rPr>
        <w:footnoteReference w:id="24"/>
      </w:r>
      <w:r w:rsidRPr="00E61025">
        <w:rPr>
          <w:rFonts w:ascii="Garamond" w:hAnsi="Garamond"/>
        </w:rPr>
        <w:t xml:space="preserve"> </w:t>
      </w:r>
    </w:p>
    <w:p w:rsidR="000F58FF" w:rsidRPr="00E61025" w:rsidRDefault="000F58FF" w:rsidP="000F58FF">
      <w:pPr>
        <w:spacing w:after="0"/>
        <w:rPr>
          <w:sz w:val="22"/>
        </w:rPr>
      </w:pPr>
      <w:r w:rsidRPr="00E61025">
        <w:rPr>
          <w:sz w:val="22"/>
        </w:rPr>
        <w:t>Als zwe</w:t>
      </w:r>
      <w:r>
        <w:rPr>
          <w:sz w:val="22"/>
        </w:rPr>
        <w:t>ite Alternative zur Ablösung des</w:t>
      </w:r>
      <w:r w:rsidRPr="00E61025">
        <w:rPr>
          <w:sz w:val="22"/>
        </w:rPr>
        <w:t xml:space="preserve"> USD</w:t>
      </w:r>
      <w:r>
        <w:rPr>
          <w:sz w:val="22"/>
        </w:rPr>
        <w:t xml:space="preserve"> als dominierende Weltreservewährung</w:t>
      </w:r>
      <w:r w:rsidRPr="00E61025">
        <w:rPr>
          <w:sz w:val="22"/>
        </w:rPr>
        <w:t xml:space="preserve"> bestünde die Möglichkeit eine </w:t>
      </w:r>
      <w:r w:rsidRPr="00E61025">
        <w:rPr>
          <w:i/>
          <w:sz w:val="22"/>
        </w:rPr>
        <w:t>neue supranationale Weltwährung</w:t>
      </w:r>
      <w:r>
        <w:rPr>
          <w:sz w:val="22"/>
        </w:rPr>
        <w:t xml:space="preserve"> einzuführen. </w:t>
      </w:r>
      <w:r w:rsidRPr="00E61025">
        <w:rPr>
          <w:sz w:val="22"/>
        </w:rPr>
        <w:t>Die neue Weltwährung müsste dann von einer unabhängigen Organisation ausgegeben werden.</w:t>
      </w:r>
      <w:r w:rsidRPr="00E61025">
        <w:rPr>
          <w:rStyle w:val="FootnoteReference"/>
          <w:sz w:val="22"/>
        </w:rPr>
        <w:footnoteReference w:id="25"/>
      </w:r>
      <w:r w:rsidRPr="00E61025">
        <w:rPr>
          <w:sz w:val="22"/>
        </w:rPr>
        <w:t xml:space="preserve"> </w:t>
      </w:r>
    </w:p>
    <w:p w:rsidR="000F58FF" w:rsidRPr="00E61025" w:rsidRDefault="000F58FF" w:rsidP="000F58FF">
      <w:pPr>
        <w:spacing w:after="0"/>
        <w:rPr>
          <w:sz w:val="22"/>
        </w:rPr>
      </w:pPr>
      <w:r w:rsidRPr="00E61025">
        <w:rPr>
          <w:sz w:val="22"/>
        </w:rPr>
        <w:t xml:space="preserve">Der dritte Ansatz sieht ein </w:t>
      </w:r>
      <w:r w:rsidRPr="00E61025">
        <w:rPr>
          <w:i/>
          <w:sz w:val="22"/>
        </w:rPr>
        <w:t>multipolares Währungssystem</w:t>
      </w:r>
      <w:r w:rsidRPr="00E61025">
        <w:rPr>
          <w:sz w:val="22"/>
        </w:rPr>
        <w:t xml:space="preserve"> vor. </w:t>
      </w:r>
      <w:r>
        <w:rPr>
          <w:sz w:val="22"/>
        </w:rPr>
        <w:t xml:space="preserve">Hierbei werden starke Währungen </w:t>
      </w:r>
      <w:r w:rsidRPr="00E61025">
        <w:rPr>
          <w:sz w:val="22"/>
        </w:rPr>
        <w:t xml:space="preserve">zu einem Währungskorb zusammengeschlossen </w:t>
      </w:r>
      <w:r>
        <w:rPr>
          <w:sz w:val="22"/>
        </w:rPr>
        <w:t xml:space="preserve">und teilen </w:t>
      </w:r>
      <w:r w:rsidRPr="00E61025">
        <w:rPr>
          <w:sz w:val="22"/>
        </w:rPr>
        <w:t>sich die Rolle einer Weltwährung. Neben dem USD könnte auch der Euro in Frage kommen. So weißt die Eurozone zwar einen großen Kapitalmarkt auf, der unter Umständen die nötige Liquidität für Anlagen und Reserven bereitstellen kann.</w:t>
      </w:r>
      <w:r w:rsidRPr="00E61025">
        <w:rPr>
          <w:rStyle w:val="FootnoteReference"/>
          <w:sz w:val="22"/>
        </w:rPr>
        <w:footnoteReference w:id="26"/>
      </w:r>
      <w:r>
        <w:rPr>
          <w:sz w:val="22"/>
        </w:rPr>
        <w:t xml:space="preserve"> Bislang gibt es jedoch keine Euroraum-Staatsanleihen</w:t>
      </w:r>
      <w:r w:rsidRPr="00E61025">
        <w:rPr>
          <w:sz w:val="22"/>
        </w:rPr>
        <w:t>, sodass die notwendige Tiefe und Liquidität des europäischen Kapitalmarkts unter Umständen nicht gewährleistet ist. Weitere Indizien, die das multipolare</w:t>
      </w:r>
      <w:r>
        <w:rPr>
          <w:sz w:val="22"/>
        </w:rPr>
        <w:t xml:space="preserve"> Währungssystem unterstützen</w:t>
      </w:r>
      <w:r w:rsidRPr="00E61025">
        <w:rPr>
          <w:sz w:val="22"/>
        </w:rPr>
        <w:t>, ist die Entwicklung des Renminbi (RMB).</w:t>
      </w:r>
      <w:r w:rsidRPr="00E61025">
        <w:rPr>
          <w:rStyle w:val="FootnoteReference"/>
          <w:sz w:val="22"/>
        </w:rPr>
        <w:footnoteReference w:id="27"/>
      </w:r>
      <w:r w:rsidRPr="00E61025">
        <w:rPr>
          <w:sz w:val="22"/>
        </w:rPr>
        <w:t xml:space="preserve"> </w:t>
      </w:r>
      <w:r>
        <w:rPr>
          <w:sz w:val="22"/>
        </w:rPr>
        <w:t>Der notwendige Zugang sowie  Liquidität und Tiefe des chinesischen sind zwar bei weitem noch nicht ausreichend um den Status einer Weltreservewährung gerecht zu werden. Allerdings scheint</w:t>
      </w:r>
      <w:r w:rsidRPr="00E61025">
        <w:rPr>
          <w:sz w:val="22"/>
        </w:rPr>
        <w:t xml:space="preserve"> China e</w:t>
      </w:r>
      <w:r>
        <w:rPr>
          <w:sz w:val="22"/>
        </w:rPr>
        <w:t>ine moderate Aufwertung des RMB gegenüber dem</w:t>
      </w:r>
      <w:r w:rsidRPr="00E61025">
        <w:rPr>
          <w:sz w:val="22"/>
        </w:rPr>
        <w:t xml:space="preserve"> USD zu</w:t>
      </w:r>
      <w:r>
        <w:rPr>
          <w:sz w:val="22"/>
        </w:rPr>
        <w:t xml:space="preserve"> zulassen. Die </w:t>
      </w:r>
      <w:r w:rsidRPr="00E61025">
        <w:rPr>
          <w:sz w:val="22"/>
        </w:rPr>
        <w:t>Verwendung des RMB im Außenhandel</w:t>
      </w:r>
      <w:r>
        <w:rPr>
          <w:sz w:val="22"/>
        </w:rPr>
        <w:t xml:space="preserve"> ist steigend wodurch eine multipolare Verankerung mit Einbeziehung des RMB förderlich wäre</w:t>
      </w:r>
      <w:r w:rsidRPr="00E61025">
        <w:rPr>
          <w:sz w:val="22"/>
        </w:rPr>
        <w:t>.</w:t>
      </w:r>
      <w:r w:rsidRPr="009D73C4">
        <w:rPr>
          <w:rStyle w:val="FootnoteReference"/>
          <w:sz w:val="22"/>
        </w:rPr>
        <w:footnoteReference w:id="28"/>
      </w:r>
      <w:r w:rsidRPr="00E61025">
        <w:rPr>
          <w:sz w:val="22"/>
        </w:rPr>
        <w:t xml:space="preserve"> </w:t>
      </w:r>
    </w:p>
    <w:p w:rsidR="000F58FF" w:rsidRDefault="000F58FF" w:rsidP="006975D2">
      <w:pPr>
        <w:pStyle w:val="Heading1"/>
      </w:pPr>
      <w:bookmarkStart w:id="31" w:name="_Toc156647788"/>
      <w:bookmarkStart w:id="32" w:name="_Toc156648414"/>
      <w:r w:rsidRPr="00F519DF">
        <w:t>Fazit</w:t>
      </w:r>
      <w:bookmarkEnd w:id="31"/>
      <w:bookmarkEnd w:id="32"/>
    </w:p>
    <w:p w:rsidR="000F58FF" w:rsidRDefault="000F58FF" w:rsidP="000F58FF">
      <w:pPr>
        <w:pStyle w:val="ListParagraph"/>
        <w:spacing w:line="360" w:lineRule="auto"/>
        <w:ind w:left="0"/>
        <w:jc w:val="both"/>
        <w:rPr>
          <w:rFonts w:ascii="Garamond" w:hAnsi="Garamond"/>
        </w:rPr>
      </w:pPr>
      <w:r>
        <w:rPr>
          <w:rFonts w:ascii="Garamond" w:hAnsi="Garamond"/>
        </w:rPr>
        <w:t>Die aktuelle Entwicklung auf Basis der gegenwärtigen Währungsordnung ist nicht tragbar. Langfristig besagt das Triffin-Dilemma, dass das amerikanische Haushaltsdefizit ein Ausmaß annehmen wird, das eine Bereitstellung der nachgefragten Liquidität nicht mehr zulässt. Wird sie doch bereitgestellt, ist die Stabilität des USD und somit seine Rolle als Weltreservewährung unterminiert. Die Entwicklung der globalen Ersparnisschwemme hat die Problematik des Triffin-Dilemmas beschleunigt, da übermäßig viel Liquidität nachgefragt wurde. Sollte die bestehende Architektur nicht abgelöst werden, so müssen Maßnahmen getroffen werden, welche die Problematik des Triffin-Dilemmas abschwächen und das bestehende System nicht zum Zusammenbruch bringt. Das heißt die weltweite Liquiditätsnachfrage muss abgesenkt werden, damit die exzessiv hohen Leistungsbilanzüberschüsse bestimmter Staaten abgebaut werden. Zudem muss die USA sicherstellen, dass die langfristige Stabilität des USD gewährleistet bleibt und seine Sparquote erhöht wird, wodurch sich sein Leistungsbilanzdefizit reduziert.</w:t>
      </w:r>
      <w:r w:rsidR="002C292E">
        <w:rPr>
          <w:rFonts w:ascii="Garamond" w:hAnsi="Garamond"/>
        </w:rPr>
        <w:t xml:space="preserve"> Diese Politikmaßnahmen müssen international koordiniert werden – der MAP ist ein erster Schritt in die richtige Richtung. Dennoch bleibt das Problem bestehen, dass die USA weiterhin ein </w:t>
      </w:r>
      <w:r>
        <w:rPr>
          <w:rFonts w:ascii="Garamond" w:hAnsi="Garamond"/>
        </w:rPr>
        <w:t>chronisches Haushaltsdefizit aufrechterhalten</w:t>
      </w:r>
      <w:r w:rsidR="002C292E">
        <w:rPr>
          <w:rFonts w:ascii="Garamond" w:hAnsi="Garamond"/>
        </w:rPr>
        <w:t xml:space="preserve"> müssen</w:t>
      </w:r>
      <w:r>
        <w:rPr>
          <w:rFonts w:ascii="Garamond" w:hAnsi="Garamond"/>
        </w:rPr>
        <w:t xml:space="preserve">, damit die notwendige Liquidität bereitgestellt wird. </w:t>
      </w:r>
    </w:p>
    <w:p w:rsidR="000F58FF" w:rsidRPr="006A1671" w:rsidRDefault="000F58FF" w:rsidP="006A1671">
      <w:pPr>
        <w:pStyle w:val="ListParagraph"/>
        <w:spacing w:line="360" w:lineRule="auto"/>
        <w:ind w:left="0"/>
        <w:jc w:val="both"/>
        <w:rPr>
          <w:rFonts w:ascii="Garamond" w:hAnsi="Garamond"/>
        </w:rPr>
      </w:pPr>
      <w:r>
        <w:rPr>
          <w:rFonts w:ascii="Garamond" w:hAnsi="Garamond"/>
        </w:rPr>
        <w:t>Die aufgezeigte Problematik lässt sich nicht innerhalb der bestehenden Architektur mit der Verankerung auf eine einzige nationale Währung lösen. Es bedarf einer neuen Währungsarchitektur, welche die Problematik der Verankerung einer einzelnen nationalen Währung überwindet.</w:t>
      </w:r>
    </w:p>
    <w:p w:rsidR="000F58FF" w:rsidRDefault="000F58FF" w:rsidP="006975D2">
      <w:pPr>
        <w:pStyle w:val="Heading1"/>
      </w:pPr>
      <w:bookmarkStart w:id="33" w:name="_Toc156647789"/>
      <w:bookmarkStart w:id="34" w:name="_Toc156648415"/>
      <w:r w:rsidRPr="00832ECC">
        <w:t>Literaturverzeichnis</w:t>
      </w:r>
      <w:bookmarkEnd w:id="33"/>
      <w:bookmarkEnd w:id="34"/>
    </w:p>
    <w:p w:rsidR="000F58FF" w:rsidRPr="00832ECC" w:rsidRDefault="000F58FF" w:rsidP="000F58FF"/>
    <w:p w:rsidR="000F58FF" w:rsidRDefault="000F58FF" w:rsidP="000F58FF">
      <w:pPr>
        <w:pStyle w:val="ListParagraph"/>
        <w:spacing w:line="360" w:lineRule="auto"/>
        <w:ind w:left="709" w:hanging="425"/>
        <w:jc w:val="both"/>
      </w:pPr>
      <w:r w:rsidRPr="00217FE0">
        <w:rPr>
          <w:lang w:val="en-US"/>
        </w:rPr>
        <w:t xml:space="preserve">Bank für internationalen Zahlungsausgleich (BIZ) (2010) </w:t>
      </w:r>
      <w:r w:rsidRPr="00217FE0">
        <w:rPr>
          <w:i/>
          <w:lang w:val="en-US"/>
        </w:rPr>
        <w:t xml:space="preserve">Basel III: A global regulatory framework for more resilient banks and banking systems. </w:t>
      </w:r>
      <w:r>
        <w:t xml:space="preserve">Dezember 2010. </w:t>
      </w:r>
      <w:r w:rsidRPr="00407CC9">
        <w:t xml:space="preserve">[Online] verfügbar unter </w:t>
      </w:r>
      <w:hyperlink r:id="rId8" w:history="1">
        <w:r w:rsidRPr="003B2A91">
          <w:rPr>
            <w:rStyle w:val="Hyperlink"/>
          </w:rPr>
          <w:t>http://www.bis.org/publ/bcbs189.pdf</w:t>
        </w:r>
      </w:hyperlink>
      <w:r>
        <w:t xml:space="preserve"> </w:t>
      </w:r>
      <w:r w:rsidRPr="00407CC9">
        <w:t xml:space="preserve">[zugegriffen am </w:t>
      </w:r>
      <w:r>
        <w:t>06.01.2011</w:t>
      </w:r>
      <w:r w:rsidRPr="00407CC9">
        <w:t>]</w:t>
      </w:r>
      <w:r>
        <w:t>.</w:t>
      </w:r>
    </w:p>
    <w:p w:rsidR="000F58FF" w:rsidRDefault="000F58FF" w:rsidP="000F58FF">
      <w:pPr>
        <w:pStyle w:val="ListParagraph"/>
        <w:spacing w:line="360" w:lineRule="auto"/>
        <w:ind w:left="709" w:hanging="425"/>
        <w:jc w:val="both"/>
      </w:pPr>
      <w:r w:rsidRPr="00F3756C">
        <w:rPr>
          <w:lang w:val="en-US"/>
        </w:rPr>
        <w:t>Bennhold</w:t>
      </w:r>
      <w:r>
        <w:t>, Katrin (2011) At Davos, Sarkozy calls for global finance rules</w:t>
      </w:r>
      <w:r w:rsidRPr="00F3756C">
        <w:rPr>
          <w:lang w:val="en-US"/>
        </w:rPr>
        <w:t xml:space="preserve">. </w:t>
      </w:r>
      <w:r w:rsidRPr="00F3756C">
        <w:rPr>
          <w:i/>
          <w:lang w:val="en-US"/>
        </w:rPr>
        <w:t xml:space="preserve">New York Times </w:t>
      </w:r>
      <w:r w:rsidRPr="00F3756C">
        <w:rPr>
          <w:lang w:val="en-US"/>
        </w:rPr>
        <w:t xml:space="preserve">[Online]. </w:t>
      </w:r>
      <w:r>
        <w:t>27.01.2011.</w:t>
      </w:r>
      <w:r w:rsidRPr="00407CC9">
        <w:t xml:space="preserve"> verfügbar unter </w:t>
      </w:r>
    </w:p>
    <w:p w:rsidR="000F58FF" w:rsidRDefault="00B613C4" w:rsidP="000F58FF">
      <w:pPr>
        <w:pStyle w:val="ListParagraph"/>
        <w:spacing w:line="360" w:lineRule="auto"/>
        <w:ind w:left="709" w:hanging="1"/>
        <w:jc w:val="both"/>
      </w:pPr>
      <w:hyperlink r:id="rId9" w:history="1">
        <w:r w:rsidR="000F58FF" w:rsidRPr="00CE2EB6">
          <w:rPr>
            <w:rStyle w:val="Hyperlink"/>
            <w:lang w:val="en-US"/>
          </w:rPr>
          <w:t>http://www.nytimes.com/2010/01/28/business/global/28davos.html</w:t>
        </w:r>
      </w:hyperlink>
      <w:r w:rsidR="000F58FF">
        <w:rPr>
          <w:lang w:val="en-US"/>
        </w:rPr>
        <w:t xml:space="preserve"> </w:t>
      </w:r>
      <w:r w:rsidR="000F58FF" w:rsidRPr="00407CC9">
        <w:t xml:space="preserve">[zugegriffen am </w:t>
      </w:r>
      <w:r w:rsidR="000F58FF">
        <w:t>13</w:t>
      </w:r>
      <w:r w:rsidR="000F58FF" w:rsidRPr="00407CC9">
        <w:t>.01.2011]</w:t>
      </w:r>
      <w:r w:rsidR="000F58FF">
        <w:t>.</w:t>
      </w:r>
    </w:p>
    <w:p w:rsidR="000F58FF" w:rsidRDefault="000F58FF" w:rsidP="000F58FF">
      <w:pPr>
        <w:pStyle w:val="ListParagraph"/>
        <w:spacing w:line="360" w:lineRule="auto"/>
        <w:ind w:left="709" w:hanging="425"/>
        <w:jc w:val="both"/>
      </w:pPr>
      <w:r>
        <w:t xml:space="preserve">Bernanke, Ben (2005) </w:t>
      </w:r>
      <w:r w:rsidRPr="006B02E1">
        <w:rPr>
          <w:i/>
        </w:rPr>
        <w:t xml:space="preserve">The Global Saving Glut and the U.S. Current Account Deficit“, </w:t>
      </w:r>
      <w:r w:rsidRPr="006B02E1">
        <w:t>Sandridge Lecture, Virginia Association of Economists, March 10, 2005</w:t>
      </w:r>
    </w:p>
    <w:p w:rsidR="000F58FF" w:rsidRPr="00217FE0" w:rsidRDefault="000F58FF" w:rsidP="000F58FF">
      <w:pPr>
        <w:pStyle w:val="ListParagraph"/>
        <w:spacing w:line="360" w:lineRule="auto"/>
        <w:ind w:left="709" w:hanging="425"/>
        <w:jc w:val="both"/>
        <w:rPr>
          <w:lang w:val="en-US"/>
        </w:rPr>
      </w:pPr>
      <w:r w:rsidRPr="00217FE0">
        <w:rPr>
          <w:lang w:val="en-US"/>
        </w:rPr>
        <w:t xml:space="preserve">Bird, Graham und Rowlands, Dane (2001) IMF lending – how is it affected by economic, political and institutional factors? </w:t>
      </w:r>
      <w:r w:rsidRPr="00217FE0">
        <w:rPr>
          <w:i/>
          <w:lang w:val="en-US"/>
        </w:rPr>
        <w:t xml:space="preserve">Journal of economic Policy Reform, </w:t>
      </w:r>
      <w:r w:rsidRPr="00217FE0">
        <w:rPr>
          <w:lang w:val="en-US"/>
        </w:rPr>
        <w:t>4(3), S. 243-270.</w:t>
      </w:r>
    </w:p>
    <w:p w:rsidR="000F58FF" w:rsidRDefault="000F58FF" w:rsidP="000F58FF">
      <w:pPr>
        <w:pStyle w:val="ListParagraph"/>
        <w:spacing w:line="360" w:lineRule="auto"/>
        <w:ind w:left="709" w:hanging="425"/>
        <w:jc w:val="both"/>
      </w:pPr>
      <w:r w:rsidRPr="00217FE0">
        <w:rPr>
          <w:lang w:val="en-US"/>
        </w:rPr>
        <w:t xml:space="preserve">Dreher, Axel und Jensen, Nathan M. (2005) </w:t>
      </w:r>
      <w:r w:rsidRPr="00217FE0">
        <w:rPr>
          <w:i/>
          <w:lang w:val="en-US"/>
        </w:rPr>
        <w:t>Indepndent actor or Agent? – An Empirical Analysis of the Impact of U.S. Interests on International Monetary Fund Conditions.</w:t>
      </w:r>
      <w:r w:rsidRPr="00217FE0">
        <w:rPr>
          <w:lang w:val="en-US"/>
        </w:rPr>
        <w:t xml:space="preserve"> </w:t>
      </w:r>
      <w:r>
        <w:t>Dezember 2005,</w:t>
      </w:r>
      <w:r>
        <w:rPr>
          <w:i/>
        </w:rPr>
        <w:t xml:space="preserve"> </w:t>
      </w:r>
      <w:r>
        <w:t xml:space="preserve">KOF-Working Paper Nr. 118. </w:t>
      </w:r>
      <w:r w:rsidRPr="00407CC9">
        <w:t xml:space="preserve">[Online] verfügbar unter </w:t>
      </w:r>
    </w:p>
    <w:p w:rsidR="000F58FF" w:rsidRDefault="00B613C4" w:rsidP="000F58FF">
      <w:pPr>
        <w:pStyle w:val="ListParagraph"/>
        <w:spacing w:line="360" w:lineRule="auto"/>
        <w:ind w:left="709" w:hanging="1"/>
        <w:jc w:val="both"/>
      </w:pPr>
      <w:hyperlink r:id="rId10" w:history="1">
        <w:r w:rsidR="000F58FF" w:rsidRPr="004B33CB">
          <w:rPr>
            <w:rStyle w:val="Hyperlink"/>
          </w:rPr>
          <w:t>http://www.kof.ethz.ch/publications/science/pdf/wp_118.pdf</w:t>
        </w:r>
      </w:hyperlink>
      <w:r w:rsidR="000F58FF">
        <w:t xml:space="preserve"> </w:t>
      </w:r>
    </w:p>
    <w:p w:rsidR="000F58FF" w:rsidRPr="00217FE0" w:rsidRDefault="000F58FF" w:rsidP="000F58FF">
      <w:pPr>
        <w:pStyle w:val="ListParagraph"/>
        <w:spacing w:line="360" w:lineRule="auto"/>
        <w:ind w:left="709" w:hanging="1"/>
        <w:jc w:val="both"/>
        <w:rPr>
          <w:lang w:val="en-US"/>
        </w:rPr>
      </w:pPr>
      <w:r w:rsidRPr="00217FE0">
        <w:rPr>
          <w:lang w:val="en-US"/>
        </w:rPr>
        <w:t>[zugegriffen am 10.01.2011].</w:t>
      </w:r>
    </w:p>
    <w:p w:rsidR="000F58FF" w:rsidRDefault="000F58FF" w:rsidP="000F58FF">
      <w:pPr>
        <w:pStyle w:val="ListParagraph"/>
        <w:spacing w:line="360" w:lineRule="auto"/>
        <w:ind w:left="709" w:hanging="425"/>
        <w:jc w:val="both"/>
      </w:pPr>
      <w:r w:rsidRPr="00217FE0">
        <w:rPr>
          <w:lang w:val="en-US"/>
        </w:rPr>
        <w:t xml:space="preserve">Eichegreen, Barry (2010) </w:t>
      </w:r>
      <w:r w:rsidRPr="00217FE0">
        <w:rPr>
          <w:i/>
          <w:lang w:val="en-US"/>
        </w:rPr>
        <w:t>Managing a Multiple Reserve Currency World.</w:t>
      </w:r>
      <w:r w:rsidRPr="00217FE0">
        <w:rPr>
          <w:lang w:val="en-US"/>
        </w:rPr>
        <w:t xml:space="preserve"> </w:t>
      </w:r>
      <w:r>
        <w:t xml:space="preserve">Policy Paper April 2010. </w:t>
      </w:r>
      <w:r w:rsidRPr="00407CC9">
        <w:t>[Online] verfügbar unter</w:t>
      </w:r>
      <w:r>
        <w:t xml:space="preserve"> </w:t>
      </w:r>
    </w:p>
    <w:p w:rsidR="000F58FF" w:rsidRDefault="00B613C4" w:rsidP="000F58FF">
      <w:pPr>
        <w:pStyle w:val="ListParagraph"/>
        <w:spacing w:line="360" w:lineRule="auto"/>
        <w:ind w:left="709" w:hanging="1"/>
        <w:jc w:val="both"/>
      </w:pPr>
      <w:hyperlink r:id="rId11" w:history="1">
        <w:r w:rsidR="000F58FF" w:rsidRPr="00C45A7C">
          <w:rPr>
            <w:rStyle w:val="Hyperlink"/>
          </w:rPr>
          <w:t>http://www.econ.berkeley.edu/~eichengr/managing_multiple_res_curr_world.pdf</w:t>
        </w:r>
      </w:hyperlink>
    </w:p>
    <w:p w:rsidR="000F58FF" w:rsidRDefault="000F58FF" w:rsidP="000F58FF">
      <w:pPr>
        <w:pStyle w:val="ListParagraph"/>
        <w:spacing w:line="360" w:lineRule="auto"/>
        <w:ind w:left="709" w:hanging="1"/>
        <w:jc w:val="both"/>
      </w:pPr>
      <w:r w:rsidRPr="00407CC9">
        <w:t xml:space="preserve"> [zugegriffen am </w:t>
      </w:r>
      <w:r>
        <w:t>12.01.2011</w:t>
      </w:r>
      <w:r w:rsidRPr="00407CC9">
        <w:t>]</w:t>
      </w:r>
      <w:r>
        <w:t>.</w:t>
      </w:r>
    </w:p>
    <w:p w:rsidR="000F58FF" w:rsidRDefault="000F58FF" w:rsidP="000F58FF">
      <w:pPr>
        <w:pStyle w:val="ListParagraph"/>
        <w:spacing w:line="360" w:lineRule="auto"/>
        <w:ind w:left="709" w:hanging="425"/>
        <w:jc w:val="both"/>
      </w:pPr>
      <w:r w:rsidRPr="00B8716F">
        <w:t>Engelen</w:t>
      </w:r>
      <w:r>
        <w:t>,</w:t>
      </w:r>
      <w:r w:rsidRPr="00B8716F">
        <w:t xml:space="preserve"> Klaus C.</w:t>
      </w:r>
      <w:r>
        <w:t xml:space="preserve"> </w:t>
      </w:r>
      <w:r w:rsidRPr="00B8716F">
        <w:t>und Kurm-Engles</w:t>
      </w:r>
      <w:r>
        <w:t>, Marietta</w:t>
      </w:r>
      <w:r w:rsidRPr="00B8716F">
        <w:t xml:space="preserve"> (2009)</w:t>
      </w:r>
      <w:r>
        <w:t xml:space="preserve"> </w:t>
      </w:r>
      <w:r w:rsidRPr="00B8716F">
        <w:t>G</w:t>
      </w:r>
      <w:r w:rsidR="004759CC">
        <w:t>-</w:t>
      </w:r>
      <w:r w:rsidRPr="00B8716F">
        <w:t>20 geben „Helikopter-Geld für alle“</w:t>
      </w:r>
      <w:r>
        <w:t xml:space="preserve">. </w:t>
      </w:r>
      <w:r>
        <w:rPr>
          <w:i/>
        </w:rPr>
        <w:t xml:space="preserve">Handelsblatt </w:t>
      </w:r>
      <w:r w:rsidRPr="00407CC9">
        <w:t>[Online]</w:t>
      </w:r>
      <w:r>
        <w:t xml:space="preserve"> 7. April 2009. </w:t>
      </w:r>
      <w:r w:rsidRPr="00407CC9">
        <w:t xml:space="preserve">verfügbar unter </w:t>
      </w:r>
      <w:hyperlink r:id="rId12" w:history="1">
        <w:r w:rsidRPr="004B33CB">
          <w:rPr>
            <w:rStyle w:val="Hyperlink"/>
          </w:rPr>
          <w:t>http://www.handelsblatt.com/politik/konjunktur/_b=2230067,_p=31,_t=ftprint,doc_page=0;printpage</w:t>
        </w:r>
      </w:hyperlink>
      <w:r>
        <w:t xml:space="preserve"> </w:t>
      </w:r>
      <w:r w:rsidRPr="00407CC9">
        <w:t xml:space="preserve">[zugegriffen am </w:t>
      </w:r>
      <w:r>
        <w:t>12</w:t>
      </w:r>
      <w:r w:rsidRPr="00407CC9">
        <w:t>.01.2011]</w:t>
      </w:r>
      <w:r>
        <w:t>.</w:t>
      </w:r>
    </w:p>
    <w:p w:rsidR="000F58FF" w:rsidRDefault="000F58FF" w:rsidP="000F58FF">
      <w:pPr>
        <w:pStyle w:val="ListParagraph"/>
        <w:spacing w:line="360" w:lineRule="auto"/>
        <w:ind w:left="709" w:hanging="425"/>
        <w:jc w:val="both"/>
      </w:pPr>
      <w:r w:rsidRPr="00217FE0">
        <w:rPr>
          <w:lang w:val="en-US"/>
        </w:rPr>
        <w:t xml:space="preserve">Financial Stabilty Board (2009) </w:t>
      </w:r>
      <w:r w:rsidRPr="00217FE0">
        <w:rPr>
          <w:i/>
          <w:lang w:val="en-US"/>
        </w:rPr>
        <w:t xml:space="preserve">Press release - Financial Stability Forum re-established as the Financial Stability Board. </w:t>
      </w:r>
      <w:r>
        <w:t xml:space="preserve">2. April 2009. </w:t>
      </w:r>
      <w:r w:rsidRPr="00407CC9">
        <w:t xml:space="preserve">[Online] verfügbar unter </w:t>
      </w:r>
      <w:hyperlink r:id="rId13" w:history="1">
        <w:r w:rsidRPr="00BF6D15">
          <w:rPr>
            <w:rStyle w:val="Hyperlink"/>
          </w:rPr>
          <w:t>http://www.financialstabilityboard.org/press/pr_090402b.pdf</w:t>
        </w:r>
      </w:hyperlink>
      <w:r>
        <w:t xml:space="preserve"> </w:t>
      </w:r>
    </w:p>
    <w:p w:rsidR="000F58FF" w:rsidRPr="00217FE0" w:rsidRDefault="000F58FF" w:rsidP="000F58FF">
      <w:pPr>
        <w:pStyle w:val="ListParagraph"/>
        <w:spacing w:line="360" w:lineRule="auto"/>
        <w:ind w:left="709" w:hanging="1"/>
        <w:jc w:val="both"/>
        <w:rPr>
          <w:lang w:val="en-US"/>
        </w:rPr>
      </w:pPr>
      <w:r w:rsidRPr="00217FE0">
        <w:rPr>
          <w:lang w:val="en-US"/>
        </w:rPr>
        <w:t>[zugegriffen am 07.01.2011].</w:t>
      </w:r>
    </w:p>
    <w:p w:rsidR="000F58FF" w:rsidRDefault="000F58FF" w:rsidP="000F58FF">
      <w:pPr>
        <w:pStyle w:val="ListParagraph"/>
        <w:spacing w:line="360" w:lineRule="auto"/>
        <w:ind w:left="709" w:hanging="425"/>
        <w:jc w:val="both"/>
      </w:pPr>
      <w:r w:rsidRPr="00217FE0">
        <w:rPr>
          <w:lang w:val="en-US"/>
        </w:rPr>
        <w:t xml:space="preserve">G-20-Finanzminister und Notenbankchefs (2010) </w:t>
      </w:r>
      <w:r w:rsidRPr="00217FE0">
        <w:rPr>
          <w:i/>
          <w:lang w:val="en-US"/>
        </w:rPr>
        <w:t>Communiqué Meeting of Finance Ministers and Central Bank Governors – Gyeongju, Republic of Korea October 23, 2010</w:t>
      </w:r>
      <w:r w:rsidRPr="00217FE0">
        <w:rPr>
          <w:lang w:val="en-US"/>
        </w:rPr>
        <w:t xml:space="preserve">. </w:t>
      </w:r>
      <w:r w:rsidRPr="00407CC9">
        <w:t xml:space="preserve">[Online] verfügbar unter </w:t>
      </w:r>
      <w:hyperlink r:id="rId14" w:history="1">
        <w:r w:rsidRPr="009A743E">
          <w:rPr>
            <w:rStyle w:val="Hyperlink"/>
          </w:rPr>
          <w:t>http://www.g20.org/Documents/201010_communique_gyeongju.pdf</w:t>
        </w:r>
      </w:hyperlink>
      <w:r>
        <w:t xml:space="preserve"> </w:t>
      </w:r>
      <w:r w:rsidRPr="00407CC9">
        <w:t xml:space="preserve">[zugegriffen am </w:t>
      </w:r>
      <w:r>
        <w:t>06.01.2011</w:t>
      </w:r>
      <w:r w:rsidRPr="00407CC9">
        <w:t>]</w:t>
      </w:r>
      <w:r>
        <w:t>.</w:t>
      </w:r>
    </w:p>
    <w:p w:rsidR="000F58FF" w:rsidRDefault="000F58FF" w:rsidP="000F58FF">
      <w:pPr>
        <w:pStyle w:val="ListParagraph"/>
        <w:spacing w:line="360" w:lineRule="auto"/>
        <w:ind w:left="709" w:hanging="425"/>
        <w:jc w:val="both"/>
      </w:pPr>
      <w:r w:rsidRPr="00217FE0">
        <w:rPr>
          <w:lang w:val="en-US"/>
        </w:rPr>
        <w:t xml:space="preserve">G-20-Mitglieder (2008) </w:t>
      </w:r>
      <w:r w:rsidRPr="00217FE0">
        <w:rPr>
          <w:i/>
          <w:lang w:val="en-US"/>
        </w:rPr>
        <w:t>Declaration summit on financial markets and the world economcy - November 15, 2008.</w:t>
      </w:r>
      <w:r w:rsidRPr="00217FE0">
        <w:rPr>
          <w:lang w:val="en-US"/>
        </w:rPr>
        <w:t xml:space="preserve"> </w:t>
      </w:r>
      <w:r w:rsidRPr="00407CC9">
        <w:t>[Online] verfügbar unter</w:t>
      </w:r>
      <w:r>
        <w:t xml:space="preserve"> </w:t>
      </w:r>
    </w:p>
    <w:p w:rsidR="000F58FF" w:rsidRDefault="000F58FF" w:rsidP="000F58FF">
      <w:pPr>
        <w:pStyle w:val="ListParagraph"/>
        <w:spacing w:line="360" w:lineRule="auto"/>
        <w:ind w:left="709"/>
        <w:jc w:val="both"/>
        <w:rPr>
          <w:rStyle w:val="Hyperlink"/>
        </w:rPr>
      </w:pPr>
      <w:r w:rsidRPr="00407CC9">
        <w:t xml:space="preserve"> </w:t>
      </w:r>
      <w:hyperlink r:id="rId15" w:history="1">
        <w:r w:rsidRPr="00301B6E">
          <w:rPr>
            <w:rStyle w:val="Hyperlink"/>
          </w:rPr>
          <w:t>http://www.g20.org/Documents/g20_summit_declaration.pdf</w:t>
        </w:r>
      </w:hyperlink>
      <w:r w:rsidRPr="00301B6E">
        <w:rPr>
          <w:rStyle w:val="Hyperlink"/>
        </w:rPr>
        <w:t xml:space="preserve"> </w:t>
      </w:r>
    </w:p>
    <w:p w:rsidR="000F58FF" w:rsidRDefault="000F58FF" w:rsidP="000F58FF">
      <w:pPr>
        <w:pStyle w:val="ListParagraph"/>
        <w:spacing w:line="360" w:lineRule="auto"/>
        <w:ind w:left="709"/>
        <w:jc w:val="both"/>
      </w:pPr>
      <w:r w:rsidRPr="00301B6E">
        <w:rPr>
          <w:rStyle w:val="Hyperlink"/>
          <w:color w:val="auto"/>
        </w:rPr>
        <w:t>[zugegriffen am</w:t>
      </w:r>
      <w:r w:rsidRPr="00407CC9">
        <w:t xml:space="preserve"> </w:t>
      </w:r>
      <w:r>
        <w:t>07.01.2011</w:t>
      </w:r>
      <w:r w:rsidRPr="00407CC9">
        <w:t>]</w:t>
      </w:r>
    </w:p>
    <w:p w:rsidR="000F58FF" w:rsidRDefault="000F58FF" w:rsidP="000F58FF">
      <w:pPr>
        <w:pStyle w:val="ListParagraph"/>
        <w:spacing w:line="360" w:lineRule="auto"/>
        <w:ind w:left="709" w:hanging="425"/>
        <w:jc w:val="both"/>
      </w:pPr>
      <w:r>
        <w:t xml:space="preserve">G-20-Mitglieder (2009a) </w:t>
      </w:r>
      <w:r w:rsidRPr="00351F6D">
        <w:rPr>
          <w:i/>
        </w:rPr>
        <w:t>Leaders' statement – the Pittsburgh Summit – 25 September 2009</w:t>
      </w:r>
      <w:r>
        <w:rPr>
          <w:i/>
        </w:rPr>
        <w:t>.</w:t>
      </w:r>
      <w:r w:rsidRPr="00351F6D">
        <w:t xml:space="preserve"> </w:t>
      </w:r>
      <w:r w:rsidRPr="00407CC9">
        <w:t>[Online] verfügbar unter</w:t>
      </w:r>
      <w:r>
        <w:t xml:space="preserve"> </w:t>
      </w:r>
    </w:p>
    <w:p w:rsidR="000F58FF" w:rsidRDefault="00B613C4" w:rsidP="000F58FF">
      <w:pPr>
        <w:pStyle w:val="ListParagraph"/>
        <w:spacing w:line="360" w:lineRule="auto"/>
        <w:ind w:left="709" w:hanging="1"/>
        <w:jc w:val="both"/>
      </w:pPr>
      <w:hyperlink r:id="rId16" w:history="1">
        <w:r w:rsidR="000F58FF" w:rsidRPr="00BF6D15">
          <w:rPr>
            <w:rStyle w:val="Hyperlink"/>
          </w:rPr>
          <w:t>http://www.g20.org/Documents/pittsburgh_summit_leaders_statement_250909.pdf</w:t>
        </w:r>
      </w:hyperlink>
    </w:p>
    <w:p w:rsidR="000F58FF" w:rsidRPr="00F3756C" w:rsidRDefault="000F58FF" w:rsidP="000F58FF">
      <w:pPr>
        <w:pStyle w:val="ListParagraph"/>
        <w:spacing w:line="360" w:lineRule="auto"/>
        <w:ind w:left="709" w:hanging="425"/>
        <w:jc w:val="both"/>
        <w:rPr>
          <w:lang w:val="en-US"/>
        </w:rPr>
      </w:pPr>
      <w:r w:rsidRPr="00407CC9">
        <w:t xml:space="preserve"> </w:t>
      </w:r>
      <w:r>
        <w:tab/>
      </w:r>
      <w:r w:rsidRPr="00217FE0">
        <w:rPr>
          <w:lang w:val="en-US"/>
        </w:rPr>
        <w:t>[zugegriffen am 07.01.2011].</w:t>
      </w:r>
    </w:p>
    <w:p w:rsidR="000F58FF" w:rsidRDefault="000F58FF" w:rsidP="000F58FF">
      <w:pPr>
        <w:pStyle w:val="ListParagraph"/>
        <w:spacing w:line="360" w:lineRule="auto"/>
        <w:ind w:left="709" w:hanging="425"/>
        <w:jc w:val="both"/>
      </w:pPr>
      <w:r w:rsidRPr="00217FE0">
        <w:rPr>
          <w:lang w:val="en-US"/>
        </w:rPr>
        <w:t>G-20-Mitglieder (2009b</w:t>
      </w:r>
      <w:r w:rsidRPr="00217FE0">
        <w:rPr>
          <w:i/>
          <w:lang w:val="en-US"/>
        </w:rPr>
        <w:t xml:space="preserve">) </w:t>
      </w:r>
      <w:r w:rsidRPr="00217FE0">
        <w:rPr>
          <w:bCs/>
          <w:i/>
          <w:lang w:val="en-US"/>
        </w:rPr>
        <w:t xml:space="preserve">Declaration on strengthening the financial system – London, 2 April 2009. </w:t>
      </w:r>
      <w:r w:rsidRPr="00407CC9">
        <w:t xml:space="preserve">[Online] verfügbar unter </w:t>
      </w:r>
    </w:p>
    <w:p w:rsidR="000F58FF" w:rsidRDefault="000F58FF" w:rsidP="000F58FF">
      <w:pPr>
        <w:pStyle w:val="ListParagraph"/>
        <w:spacing w:line="360" w:lineRule="auto"/>
        <w:ind w:left="709" w:hanging="1"/>
        <w:jc w:val="both"/>
      </w:pPr>
      <w:r w:rsidRPr="00680887">
        <w:rPr>
          <w:i/>
        </w:rPr>
        <w:t>http://www.g20.org/Documents/Fin_Deps_Fin_Reg_Annex_020409_-_1615_final.pdf</w:t>
      </w:r>
    </w:p>
    <w:p w:rsidR="000F58FF" w:rsidRPr="00217FE0" w:rsidRDefault="000F58FF" w:rsidP="000F58FF">
      <w:pPr>
        <w:pStyle w:val="ListParagraph"/>
        <w:spacing w:line="360" w:lineRule="auto"/>
        <w:ind w:left="709" w:hanging="1"/>
        <w:jc w:val="both"/>
        <w:rPr>
          <w:lang w:val="en-US"/>
        </w:rPr>
      </w:pPr>
      <w:r>
        <w:rPr>
          <w:i/>
        </w:rPr>
        <w:tab/>
      </w:r>
      <w:r w:rsidRPr="00217FE0">
        <w:rPr>
          <w:lang w:val="en-US"/>
        </w:rPr>
        <w:t>[zugegriffen am 07.01.2011].</w:t>
      </w:r>
    </w:p>
    <w:p w:rsidR="000F58FF" w:rsidRDefault="000F58FF" w:rsidP="000F58FF">
      <w:pPr>
        <w:pStyle w:val="ListParagraph"/>
        <w:spacing w:line="360" w:lineRule="auto"/>
        <w:ind w:left="709" w:hanging="425"/>
        <w:jc w:val="both"/>
      </w:pPr>
      <w:r w:rsidRPr="00217FE0">
        <w:rPr>
          <w:lang w:val="en-US"/>
        </w:rPr>
        <w:t xml:space="preserve">G-20-Mitglieder (2009c) </w:t>
      </w:r>
      <w:r w:rsidRPr="00217FE0">
        <w:rPr>
          <w:i/>
          <w:lang w:val="en-US"/>
        </w:rPr>
        <w:t>Declaration on delivering resources through the international financial institutions – London, 2 April 2009.</w:t>
      </w:r>
      <w:r w:rsidRPr="00217FE0">
        <w:rPr>
          <w:lang w:val="en-US"/>
        </w:rPr>
        <w:t xml:space="preserve"> </w:t>
      </w:r>
      <w:r w:rsidRPr="00407CC9">
        <w:t xml:space="preserve">[Online] verfügbar unter </w:t>
      </w:r>
      <w:hyperlink r:id="rId17" w:history="1">
        <w:r w:rsidRPr="004B33CB">
          <w:rPr>
            <w:rStyle w:val="Hyperlink"/>
          </w:rPr>
          <w:t>http://www.g20.org/Documents/Fin_Deps_IFI_Annex_Draft_02_04_09_-_1615_Clean.pdf</w:t>
        </w:r>
      </w:hyperlink>
    </w:p>
    <w:p w:rsidR="000F58FF" w:rsidRDefault="000F58FF" w:rsidP="000F58FF">
      <w:pPr>
        <w:pStyle w:val="ListParagraph"/>
        <w:spacing w:line="360" w:lineRule="auto"/>
        <w:ind w:left="709" w:hanging="1"/>
        <w:jc w:val="both"/>
      </w:pPr>
      <w:r w:rsidRPr="00407CC9">
        <w:t xml:space="preserve">[zugegriffen am </w:t>
      </w:r>
      <w:r>
        <w:t>10.01.2011</w:t>
      </w:r>
      <w:r w:rsidRPr="00407CC9">
        <w:t>]</w:t>
      </w:r>
      <w:r>
        <w:t>.</w:t>
      </w:r>
    </w:p>
    <w:p w:rsidR="000F58FF" w:rsidRDefault="000F58FF" w:rsidP="000F58FF">
      <w:pPr>
        <w:pStyle w:val="ListParagraph"/>
        <w:spacing w:line="360" w:lineRule="auto"/>
        <w:ind w:left="709" w:hanging="425"/>
        <w:jc w:val="both"/>
        <w:rPr>
          <w:i/>
        </w:rPr>
      </w:pPr>
      <w:r>
        <w:t xml:space="preserve">G-20-Mitglieder (2010a) </w:t>
      </w:r>
      <w:r w:rsidRPr="001502C6">
        <w:rPr>
          <w:i/>
        </w:rPr>
        <w:t>The G20 Toronto Summit Declarati</w:t>
      </w:r>
      <w:r>
        <w:rPr>
          <w:i/>
        </w:rPr>
        <w:t>on – June 26-27, 2010.</w:t>
      </w:r>
    </w:p>
    <w:p w:rsidR="000F58FF" w:rsidRDefault="000F58FF" w:rsidP="000F58FF">
      <w:pPr>
        <w:pStyle w:val="ListParagraph"/>
        <w:spacing w:line="360" w:lineRule="auto"/>
        <w:ind w:left="709" w:hanging="1"/>
        <w:jc w:val="both"/>
      </w:pPr>
      <w:r w:rsidRPr="00407CC9">
        <w:t xml:space="preserve">[Online] verfügbar unter </w:t>
      </w:r>
      <w:hyperlink r:id="rId18" w:history="1">
        <w:r w:rsidRPr="00C45A7C">
          <w:rPr>
            <w:rStyle w:val="Hyperlink"/>
          </w:rPr>
          <w:t>http://www.g20.org/Documents/g20_declaration_en.pdf</w:t>
        </w:r>
      </w:hyperlink>
      <w:r>
        <w:t xml:space="preserve"> </w:t>
      </w:r>
    </w:p>
    <w:p w:rsidR="000F58FF" w:rsidRDefault="000F58FF" w:rsidP="000F58FF">
      <w:pPr>
        <w:pStyle w:val="ListParagraph"/>
        <w:spacing w:line="360" w:lineRule="auto"/>
        <w:ind w:left="709" w:hanging="1"/>
        <w:jc w:val="both"/>
      </w:pPr>
      <w:r w:rsidRPr="00407CC9">
        <w:t xml:space="preserve">[zugegriffen am </w:t>
      </w:r>
      <w:r>
        <w:t>06.01.2011</w:t>
      </w:r>
      <w:r w:rsidRPr="00407CC9">
        <w:t>]</w:t>
      </w:r>
      <w:r>
        <w:t>.</w:t>
      </w:r>
    </w:p>
    <w:p w:rsidR="000F58FF" w:rsidRDefault="000F58FF" w:rsidP="000F58FF">
      <w:pPr>
        <w:pStyle w:val="ListParagraph"/>
        <w:spacing w:line="360" w:lineRule="auto"/>
        <w:ind w:left="709" w:hanging="425"/>
        <w:jc w:val="both"/>
        <w:rPr>
          <w:i/>
        </w:rPr>
      </w:pPr>
      <w:r>
        <w:t xml:space="preserve">G-20-Mitglieder (2010b) </w:t>
      </w:r>
      <w:r>
        <w:rPr>
          <w:i/>
        </w:rPr>
        <w:t>The G20 Seoul summit leaders' declaration – November 11-12, 2010.</w:t>
      </w:r>
    </w:p>
    <w:p w:rsidR="000F58FF" w:rsidRDefault="000F58FF" w:rsidP="000F58FF">
      <w:pPr>
        <w:pStyle w:val="ListParagraph"/>
        <w:spacing w:line="360" w:lineRule="auto"/>
        <w:ind w:left="709" w:hanging="1"/>
        <w:jc w:val="both"/>
      </w:pPr>
      <w:r w:rsidRPr="00407CC9">
        <w:t xml:space="preserve">[Online] verfügbar unter </w:t>
      </w:r>
    </w:p>
    <w:p w:rsidR="000F58FF" w:rsidRDefault="00B613C4" w:rsidP="000F58FF">
      <w:pPr>
        <w:pStyle w:val="ListParagraph"/>
        <w:spacing w:line="360" w:lineRule="auto"/>
        <w:ind w:left="709" w:hanging="1"/>
        <w:jc w:val="both"/>
      </w:pPr>
      <w:hyperlink r:id="rId19" w:history="1">
        <w:r w:rsidR="000F58FF" w:rsidRPr="003B2A91">
          <w:rPr>
            <w:rStyle w:val="Hyperlink"/>
          </w:rPr>
          <w:t>http://www.g20.org/Documents2010/11/seoulsummit_declaration.pdf</w:t>
        </w:r>
      </w:hyperlink>
      <w:r w:rsidR="000F58FF">
        <w:t xml:space="preserve"> </w:t>
      </w:r>
      <w:r w:rsidR="000F58FF" w:rsidRPr="00407CC9">
        <w:t xml:space="preserve">[zugegriffen am </w:t>
      </w:r>
      <w:r w:rsidR="000F58FF">
        <w:t>06.01.2011</w:t>
      </w:r>
      <w:r w:rsidR="000F58FF" w:rsidRPr="00407CC9">
        <w:t>]</w:t>
      </w:r>
      <w:r w:rsidR="000F58FF">
        <w:t>.</w:t>
      </w:r>
    </w:p>
    <w:p w:rsidR="000F58FF" w:rsidRPr="00217FE0" w:rsidRDefault="000F58FF" w:rsidP="000F58FF">
      <w:pPr>
        <w:pStyle w:val="ListParagraph"/>
        <w:spacing w:line="360" w:lineRule="auto"/>
        <w:ind w:left="709" w:hanging="425"/>
        <w:jc w:val="both"/>
        <w:rPr>
          <w:lang w:val="en-US"/>
        </w:rPr>
      </w:pPr>
      <w:r w:rsidRPr="00217FE0">
        <w:rPr>
          <w:lang w:val="en-US"/>
        </w:rPr>
        <w:t xml:space="preserve">Geithner, Timothy F. (2010) </w:t>
      </w:r>
      <w:r w:rsidRPr="00217FE0">
        <w:rPr>
          <w:i/>
          <w:lang w:val="en-US"/>
        </w:rPr>
        <w:t>Statement of Secretary Timothy F. Geithner.</w:t>
      </w:r>
    </w:p>
    <w:p w:rsidR="000F58FF" w:rsidRDefault="000F58FF" w:rsidP="000F58FF">
      <w:pPr>
        <w:pStyle w:val="ListParagraph"/>
        <w:spacing w:line="360" w:lineRule="auto"/>
        <w:ind w:left="709" w:hanging="1"/>
        <w:jc w:val="both"/>
      </w:pPr>
      <w:r w:rsidRPr="00217FE0">
        <w:rPr>
          <w:lang w:val="en-US"/>
        </w:rPr>
        <w:t xml:space="preserve">Department of the Treasury, 23. Oktober 2010. </w:t>
      </w:r>
      <w:r w:rsidRPr="00407CC9">
        <w:t xml:space="preserve">[Online] verfügbar unter </w:t>
      </w:r>
      <w:hyperlink r:id="rId20" w:history="1">
        <w:r w:rsidRPr="00A05441">
          <w:rPr>
            <w:rStyle w:val="Hyperlink"/>
          </w:rPr>
          <w:t>http://www.treasury.gov/press-center/press-releases/Pages/tg920.aspx</w:t>
        </w:r>
      </w:hyperlink>
    </w:p>
    <w:p w:rsidR="000F58FF" w:rsidRPr="00407CC9" w:rsidRDefault="000F58FF" w:rsidP="000F58FF">
      <w:pPr>
        <w:pStyle w:val="ListParagraph"/>
        <w:spacing w:line="360" w:lineRule="auto"/>
        <w:ind w:left="709" w:hanging="1"/>
        <w:jc w:val="both"/>
      </w:pPr>
      <w:r w:rsidRPr="00407CC9">
        <w:t xml:space="preserve">[zugegriffen am </w:t>
      </w:r>
      <w:r>
        <w:t>06.01.2011</w:t>
      </w:r>
      <w:r w:rsidRPr="00407CC9">
        <w:t>]</w:t>
      </w:r>
      <w:r>
        <w:t>.</w:t>
      </w:r>
    </w:p>
    <w:p w:rsidR="000F58FF" w:rsidRDefault="000F58FF" w:rsidP="000F58FF">
      <w:pPr>
        <w:pStyle w:val="ListParagraph"/>
        <w:spacing w:line="360" w:lineRule="auto"/>
        <w:ind w:left="709" w:hanging="425"/>
        <w:jc w:val="both"/>
      </w:pPr>
      <w:r>
        <w:t xml:space="preserve">Irwin, Neil und Schneider, Howard (2010) </w:t>
      </w:r>
      <w:r w:rsidRPr="00A05441">
        <w:t>G-20 divided over Geithner plan</w:t>
      </w:r>
      <w:r>
        <w:t xml:space="preserve">. </w:t>
      </w:r>
      <w:r>
        <w:rPr>
          <w:i/>
        </w:rPr>
        <w:t>Washington Post</w:t>
      </w:r>
      <w:r w:rsidRPr="00407CC9">
        <w:rPr>
          <w:i/>
        </w:rPr>
        <w:t xml:space="preserve">. </w:t>
      </w:r>
      <w:r w:rsidRPr="00407CC9">
        <w:t>[Online]</w:t>
      </w:r>
      <w:r>
        <w:t>. 23. Oktober 2010.</w:t>
      </w:r>
      <w:r w:rsidRPr="00407CC9">
        <w:t xml:space="preserve"> verfügbar unter </w:t>
      </w:r>
      <w:hyperlink r:id="rId21" w:history="1">
        <w:r w:rsidRPr="003B2A91">
          <w:rPr>
            <w:rStyle w:val="Hyperlink"/>
          </w:rPr>
          <w:t>http://www.washingtonpost.com/wp-dyn/content/article/2010/10/22/AR2010102206672.html</w:t>
        </w:r>
      </w:hyperlink>
    </w:p>
    <w:p w:rsidR="000F58FF" w:rsidRPr="00217FE0" w:rsidRDefault="000F58FF" w:rsidP="000F58FF">
      <w:pPr>
        <w:pStyle w:val="ListParagraph"/>
        <w:spacing w:line="360" w:lineRule="auto"/>
        <w:ind w:left="709" w:hanging="1"/>
        <w:jc w:val="both"/>
        <w:rPr>
          <w:lang w:val="en-US"/>
        </w:rPr>
      </w:pPr>
      <w:r w:rsidRPr="00217FE0">
        <w:rPr>
          <w:lang w:val="en-US"/>
        </w:rPr>
        <w:t>[zugegriffen am 06.01.2011].</w:t>
      </w:r>
    </w:p>
    <w:p w:rsidR="000F58FF" w:rsidRDefault="000F58FF" w:rsidP="000F58FF">
      <w:pPr>
        <w:pStyle w:val="ListParagraph"/>
        <w:spacing w:line="360" w:lineRule="auto"/>
        <w:ind w:left="709" w:hanging="425"/>
        <w:jc w:val="both"/>
      </w:pPr>
      <w:r w:rsidRPr="00217FE0">
        <w:rPr>
          <w:lang w:val="en-US"/>
        </w:rPr>
        <w:t xml:space="preserve">IWF (2010a) </w:t>
      </w:r>
      <w:r w:rsidRPr="00217FE0">
        <w:rPr>
          <w:i/>
          <w:lang w:val="en-US"/>
        </w:rPr>
        <w:t xml:space="preserve">International Monetary Fund Factsheet – IMF Quotas. </w:t>
      </w:r>
      <w:r>
        <w:t xml:space="preserve">November 2010. </w:t>
      </w:r>
      <w:r w:rsidRPr="00407CC9">
        <w:t xml:space="preserve">[Online] verfügbar unter </w:t>
      </w:r>
      <w:hyperlink r:id="rId22" w:history="1">
        <w:r w:rsidRPr="004B33CB">
          <w:rPr>
            <w:rStyle w:val="Hyperlink"/>
          </w:rPr>
          <w:t>http://www.imf.org/external/np/exr/facts/pdf/quotas.pdf</w:t>
        </w:r>
      </w:hyperlink>
    </w:p>
    <w:p w:rsidR="000F58FF" w:rsidRPr="00217FE0" w:rsidRDefault="000F58FF" w:rsidP="000F58FF">
      <w:pPr>
        <w:pStyle w:val="ListParagraph"/>
        <w:spacing w:line="360" w:lineRule="auto"/>
        <w:ind w:left="709" w:hanging="1"/>
        <w:jc w:val="both"/>
        <w:rPr>
          <w:lang w:val="en-US"/>
        </w:rPr>
      </w:pPr>
      <w:r w:rsidRPr="00217FE0">
        <w:rPr>
          <w:lang w:val="en-US"/>
        </w:rPr>
        <w:t>[zugegriffen am 10.01.2011].</w:t>
      </w:r>
    </w:p>
    <w:p w:rsidR="000F58FF" w:rsidRDefault="000F58FF" w:rsidP="000F58FF">
      <w:pPr>
        <w:pStyle w:val="ListParagraph"/>
        <w:spacing w:line="360" w:lineRule="auto"/>
        <w:ind w:left="709" w:hanging="425"/>
        <w:jc w:val="both"/>
      </w:pPr>
      <w:r w:rsidRPr="00217FE0">
        <w:rPr>
          <w:lang w:val="en-US"/>
        </w:rPr>
        <w:t xml:space="preserve">IWF (2010b) </w:t>
      </w:r>
      <w:r w:rsidRPr="00217FE0">
        <w:rPr>
          <w:i/>
          <w:lang w:val="en-US"/>
        </w:rPr>
        <w:t xml:space="preserve">International Monetary Fund Factsheet – Special Drawing Rights. </w:t>
      </w:r>
      <w:r>
        <w:t xml:space="preserve">Dezember 2010. </w:t>
      </w:r>
      <w:r w:rsidRPr="00407CC9">
        <w:t xml:space="preserve">[Online] verfügbar unter </w:t>
      </w:r>
      <w:hyperlink r:id="rId23" w:history="1">
        <w:r w:rsidRPr="004B33CB">
          <w:rPr>
            <w:rStyle w:val="Hyperlink"/>
          </w:rPr>
          <w:t>http://www.imf.org/external/np/exr/facts/pdf/sdr.pdf</w:t>
        </w:r>
      </w:hyperlink>
      <w:r>
        <w:t xml:space="preserve"> </w:t>
      </w:r>
    </w:p>
    <w:p w:rsidR="000F58FF" w:rsidRPr="00217FE0" w:rsidRDefault="000F58FF" w:rsidP="000F58FF">
      <w:pPr>
        <w:pStyle w:val="ListParagraph"/>
        <w:spacing w:line="360" w:lineRule="auto"/>
        <w:ind w:left="709" w:hanging="1"/>
        <w:jc w:val="both"/>
        <w:rPr>
          <w:lang w:val="en-US"/>
        </w:rPr>
      </w:pPr>
      <w:r w:rsidRPr="00217FE0">
        <w:rPr>
          <w:lang w:val="en-US"/>
        </w:rPr>
        <w:t>[zugegriffen am 10.01.2011].</w:t>
      </w:r>
    </w:p>
    <w:p w:rsidR="000F58FF" w:rsidRDefault="000F58FF" w:rsidP="000F58FF">
      <w:pPr>
        <w:pStyle w:val="ListParagraph"/>
        <w:spacing w:line="360" w:lineRule="auto"/>
        <w:ind w:left="709" w:hanging="425"/>
        <w:jc w:val="both"/>
      </w:pPr>
      <w:r w:rsidRPr="00217FE0">
        <w:rPr>
          <w:lang w:val="en-US"/>
        </w:rPr>
        <w:t xml:space="preserve">IWF (2010c) </w:t>
      </w:r>
      <w:r w:rsidRPr="00217FE0">
        <w:rPr>
          <w:i/>
          <w:lang w:val="en-US"/>
        </w:rPr>
        <w:t>Currency Composition of Official Foreign Exchange Reserves (COFER)</w:t>
      </w:r>
      <w:r w:rsidRPr="00217FE0">
        <w:rPr>
          <w:lang w:val="en-US"/>
        </w:rPr>
        <w:t xml:space="preserve">. </w:t>
      </w:r>
      <w:r>
        <w:t xml:space="preserve">30.12.2010. </w:t>
      </w:r>
      <w:r w:rsidRPr="00407CC9">
        <w:t>[Online] verfügbar unter</w:t>
      </w:r>
    </w:p>
    <w:p w:rsidR="000F58FF" w:rsidRDefault="000F58FF" w:rsidP="000F58FF">
      <w:pPr>
        <w:pStyle w:val="ListParagraph"/>
        <w:spacing w:line="360" w:lineRule="auto"/>
        <w:ind w:left="709" w:hanging="1"/>
        <w:jc w:val="both"/>
      </w:pPr>
      <w:r w:rsidRPr="00407CC9">
        <w:t xml:space="preserve"> </w:t>
      </w:r>
      <w:hyperlink r:id="rId24" w:history="1">
        <w:r w:rsidRPr="004B33CB">
          <w:rPr>
            <w:rStyle w:val="Hyperlink"/>
          </w:rPr>
          <w:t>http://www.imf.org/external/np/sta/cofer/eng/cofer.pdf</w:t>
        </w:r>
      </w:hyperlink>
      <w:r>
        <w:t xml:space="preserve"> </w:t>
      </w:r>
      <w:r w:rsidRPr="00407CC9">
        <w:t xml:space="preserve">[zugegriffen am </w:t>
      </w:r>
      <w:r>
        <w:t>12</w:t>
      </w:r>
      <w:r w:rsidRPr="00407CC9">
        <w:t>.01.2011]</w:t>
      </w:r>
      <w:r>
        <w:t>.</w:t>
      </w:r>
    </w:p>
    <w:p w:rsidR="000F58FF" w:rsidRDefault="000F58FF" w:rsidP="000F58FF">
      <w:pPr>
        <w:pStyle w:val="ListParagraph"/>
        <w:spacing w:line="360" w:lineRule="auto"/>
        <w:ind w:left="709" w:hanging="425"/>
        <w:jc w:val="both"/>
      </w:pPr>
      <w:r w:rsidRPr="00217FE0">
        <w:rPr>
          <w:lang w:val="en-US"/>
        </w:rPr>
        <w:t xml:space="preserve">Mateos y Lago, Isabelle; Duttagupta, Rupa und Goyal, Rishi (2009) </w:t>
      </w:r>
      <w:r w:rsidRPr="00217FE0">
        <w:rPr>
          <w:rFonts w:ascii="Times New Roman" w:hAnsi="Times New Roman" w:cs="Times New Roman"/>
          <w:bCs/>
          <w:i/>
          <w:color w:val="000000"/>
          <w:lang w:val="en-US"/>
        </w:rPr>
        <w:t>The Debate on the International Monetary System.</w:t>
      </w:r>
      <w:r w:rsidRPr="00217FE0">
        <w:rPr>
          <w:rFonts w:ascii="Times New Roman" w:hAnsi="Times New Roman" w:cs="Times New Roman"/>
          <w:bCs/>
          <w:color w:val="000000"/>
          <w:lang w:val="en-US"/>
        </w:rPr>
        <w:t xml:space="preserve"> </w:t>
      </w:r>
      <w:r>
        <w:rPr>
          <w:rFonts w:ascii="Times New Roman" w:hAnsi="Times New Roman" w:cs="Times New Roman"/>
          <w:bCs/>
          <w:color w:val="000000"/>
        </w:rPr>
        <w:t xml:space="preserve">IMF Staff Position Note, 11. November 2009, </w:t>
      </w:r>
      <w:r w:rsidRPr="007D3214">
        <w:rPr>
          <w:rFonts w:ascii="Times New Roman" w:hAnsi="Times New Roman" w:cs="Times New Roman"/>
          <w:bCs/>
          <w:color w:val="000000"/>
        </w:rPr>
        <w:t>SPN/09/26</w:t>
      </w:r>
      <w:r>
        <w:rPr>
          <w:rFonts w:ascii="Times New Roman" w:hAnsi="Times New Roman" w:cs="Times New Roman"/>
          <w:bCs/>
          <w:color w:val="000000"/>
        </w:rPr>
        <w:t xml:space="preserve">. </w:t>
      </w:r>
      <w:r w:rsidRPr="00407CC9">
        <w:t>[Online] verfügbar unter</w:t>
      </w:r>
      <w:r>
        <w:t xml:space="preserve"> </w:t>
      </w:r>
      <w:hyperlink r:id="rId25" w:history="1">
        <w:r w:rsidRPr="00C45A7C">
          <w:rPr>
            <w:rStyle w:val="Hyperlink"/>
          </w:rPr>
          <w:t>http://www.imf.org/external/pubs/ft/spn/2009/spn0926.pdf</w:t>
        </w:r>
      </w:hyperlink>
      <w:r>
        <w:t xml:space="preserve"> </w:t>
      </w:r>
      <w:r w:rsidRPr="00407CC9">
        <w:t xml:space="preserve">[zugegriffen am </w:t>
      </w:r>
      <w:r>
        <w:t>04</w:t>
      </w:r>
      <w:r w:rsidRPr="00407CC9">
        <w:t>.01.2011]</w:t>
      </w:r>
      <w:r>
        <w:t>.</w:t>
      </w:r>
    </w:p>
    <w:p w:rsidR="000F58FF" w:rsidRPr="00217FE0" w:rsidRDefault="000F58FF" w:rsidP="000F58FF">
      <w:pPr>
        <w:pStyle w:val="ListParagraph"/>
        <w:spacing w:line="360" w:lineRule="auto"/>
        <w:ind w:left="709" w:hanging="425"/>
        <w:jc w:val="both"/>
        <w:rPr>
          <w:lang w:val="en-US"/>
        </w:rPr>
      </w:pPr>
      <w:r w:rsidRPr="00217FE0">
        <w:rPr>
          <w:lang w:val="en-US"/>
        </w:rPr>
        <w:t xml:space="preserve">Mosley, Layna und Singer, David A. (2009) The Global Financial Crisis: Lessons and Oppertunities for International Political Economy. </w:t>
      </w:r>
      <w:r w:rsidRPr="00217FE0">
        <w:rPr>
          <w:i/>
          <w:lang w:val="en-US"/>
        </w:rPr>
        <w:t>International Interactions</w:t>
      </w:r>
      <w:r w:rsidRPr="00217FE0">
        <w:rPr>
          <w:lang w:val="en-US"/>
        </w:rPr>
        <w:t xml:space="preserve">, 35(4), S. 420 – 429.  </w:t>
      </w:r>
    </w:p>
    <w:p w:rsidR="000F58FF" w:rsidRDefault="000F58FF" w:rsidP="000F58FF">
      <w:pPr>
        <w:pStyle w:val="ListParagraph"/>
        <w:spacing w:line="360" w:lineRule="auto"/>
        <w:ind w:left="709" w:hanging="425"/>
        <w:jc w:val="both"/>
      </w:pPr>
      <w:r w:rsidRPr="00217FE0">
        <w:rPr>
          <w:lang w:val="en-US"/>
        </w:rPr>
        <w:t>Nicholson, Chris V. (2011)</w:t>
      </w:r>
      <w:r>
        <w:rPr>
          <w:lang w:val="en-US"/>
        </w:rPr>
        <w:t xml:space="preserve"> </w:t>
      </w:r>
      <w:r w:rsidRPr="00217FE0">
        <w:rPr>
          <w:lang w:val="en-US"/>
        </w:rPr>
        <w:t xml:space="preserve">Bank of China Opens for Renminbi Trade in U.S. </w:t>
      </w:r>
      <w:r w:rsidRPr="00217FE0">
        <w:rPr>
          <w:i/>
          <w:lang w:val="en-US"/>
        </w:rPr>
        <w:t xml:space="preserve">New York Times </w:t>
      </w:r>
      <w:r w:rsidRPr="00217FE0">
        <w:rPr>
          <w:lang w:val="en-US"/>
        </w:rPr>
        <w:t xml:space="preserve">[Online]. </w:t>
      </w:r>
      <w:r>
        <w:t>12.01.2011.</w:t>
      </w:r>
      <w:r w:rsidRPr="00407CC9">
        <w:t xml:space="preserve"> verfügbar unter </w:t>
      </w:r>
    </w:p>
    <w:p w:rsidR="000F58FF" w:rsidRDefault="00B613C4" w:rsidP="000F58FF">
      <w:pPr>
        <w:pStyle w:val="ListParagraph"/>
        <w:spacing w:line="360" w:lineRule="auto"/>
        <w:ind w:left="709" w:hanging="1"/>
        <w:jc w:val="both"/>
      </w:pPr>
      <w:hyperlink r:id="rId26" w:history="1">
        <w:r w:rsidR="000F58FF" w:rsidRPr="00C45A7C">
          <w:rPr>
            <w:rStyle w:val="Hyperlink"/>
          </w:rPr>
          <w:t>http://dealbook.nytimes.com/2011/01/12/bank-of-china-lets-americans-bet-on-yuan/?pagemode=print</w:t>
        </w:r>
      </w:hyperlink>
      <w:r w:rsidR="000F58FF">
        <w:t xml:space="preserve"> </w:t>
      </w:r>
      <w:r w:rsidR="000F58FF" w:rsidRPr="00407CC9">
        <w:t xml:space="preserve">[zugegriffen am </w:t>
      </w:r>
      <w:r w:rsidR="000F58FF">
        <w:t>13</w:t>
      </w:r>
      <w:r w:rsidR="000F58FF" w:rsidRPr="00407CC9">
        <w:t>.01.2011]</w:t>
      </w:r>
      <w:r w:rsidR="000F58FF">
        <w:t>.</w:t>
      </w:r>
    </w:p>
    <w:p w:rsidR="000F58FF" w:rsidRDefault="000F58FF" w:rsidP="000F58FF">
      <w:pPr>
        <w:pStyle w:val="ListParagraph"/>
        <w:spacing w:line="360" w:lineRule="auto"/>
        <w:ind w:left="709" w:hanging="425"/>
        <w:jc w:val="both"/>
        <w:rPr>
          <w:lang w:val="en-US"/>
        </w:rPr>
      </w:pPr>
      <w:r w:rsidRPr="00217FE0">
        <w:rPr>
          <w:lang w:val="en-US"/>
        </w:rPr>
        <w:t xml:space="preserve">Oatley, Thomas und Yackee, Jason (2004) American Interests and IMF Lending. </w:t>
      </w:r>
      <w:r w:rsidRPr="00217FE0">
        <w:rPr>
          <w:i/>
          <w:lang w:val="en-US"/>
        </w:rPr>
        <w:t xml:space="preserve">International Politics, </w:t>
      </w:r>
      <w:r w:rsidRPr="00217FE0">
        <w:rPr>
          <w:lang w:val="en-US"/>
        </w:rPr>
        <w:t>41(3), S. 415 – 429.</w:t>
      </w:r>
    </w:p>
    <w:p w:rsidR="000F58FF" w:rsidRPr="00217FE0" w:rsidRDefault="000F58FF" w:rsidP="000F58FF">
      <w:pPr>
        <w:pStyle w:val="ListParagraph"/>
        <w:spacing w:line="360" w:lineRule="auto"/>
        <w:ind w:left="709" w:hanging="425"/>
        <w:jc w:val="both"/>
        <w:rPr>
          <w:lang w:val="en-US"/>
        </w:rPr>
      </w:pPr>
      <w:r w:rsidRPr="006B02E1">
        <w:rPr>
          <w:lang w:val="en-US"/>
        </w:rPr>
        <w:t>Obstfeld, Maurice</w:t>
      </w:r>
      <w:r>
        <w:rPr>
          <w:lang w:val="en-US"/>
        </w:rPr>
        <w:t xml:space="preserve"> (2010) The Immoderate World Economy.</w:t>
      </w:r>
      <w:r w:rsidRPr="006B02E1">
        <w:rPr>
          <w:i/>
          <w:lang w:val="en-US"/>
        </w:rPr>
        <w:t xml:space="preserve"> Journal of International Money and Finance</w:t>
      </w:r>
      <w:r>
        <w:rPr>
          <w:lang w:val="en-US"/>
        </w:rPr>
        <w:t>, 29(4), S. 603-614.</w:t>
      </w:r>
    </w:p>
    <w:p w:rsidR="000F58FF" w:rsidRDefault="000F58FF" w:rsidP="000F58FF">
      <w:pPr>
        <w:pStyle w:val="ListParagraph"/>
        <w:spacing w:line="360" w:lineRule="auto"/>
        <w:ind w:left="709" w:hanging="425"/>
        <w:jc w:val="both"/>
      </w:pPr>
      <w:r w:rsidRPr="00217FE0">
        <w:rPr>
          <w:lang w:val="en-US"/>
        </w:rPr>
        <w:t xml:space="preserve">Prasad, Eswar (2009) The Insurance Solution. </w:t>
      </w:r>
      <w:r w:rsidRPr="00217FE0">
        <w:rPr>
          <w:i/>
          <w:lang w:val="en-US"/>
        </w:rPr>
        <w:t xml:space="preserve">Wall Street Journal Asia. </w:t>
      </w:r>
      <w:r w:rsidRPr="00407CC9">
        <w:t>[Online]</w:t>
      </w:r>
      <w:r>
        <w:t>. 11. März 2010.</w:t>
      </w:r>
      <w:r w:rsidRPr="00407CC9">
        <w:t xml:space="preserve"> verfügbar unter </w:t>
      </w:r>
      <w:hyperlink r:id="rId27" w:history="1">
        <w:r w:rsidRPr="001C18B7">
          <w:rPr>
            <w:rStyle w:val="Hyperlink"/>
          </w:rPr>
          <w:t>http://online.wsj.com/article/SB123669930494383169.html</w:t>
        </w:r>
      </w:hyperlink>
      <w:r>
        <w:t xml:space="preserve"> </w:t>
      </w:r>
    </w:p>
    <w:p w:rsidR="000F58FF" w:rsidRDefault="000F58FF" w:rsidP="000F58FF">
      <w:pPr>
        <w:pStyle w:val="ListParagraph"/>
        <w:spacing w:line="360" w:lineRule="auto"/>
        <w:ind w:left="709" w:hanging="1"/>
        <w:jc w:val="both"/>
        <w:rPr>
          <w:lang w:val="en-US"/>
        </w:rPr>
      </w:pPr>
      <w:r w:rsidRPr="00217FE0">
        <w:rPr>
          <w:lang w:val="en-US"/>
        </w:rPr>
        <w:t>[zugegriffen am 10.01.2011].</w:t>
      </w:r>
    </w:p>
    <w:p w:rsidR="000F58FF" w:rsidRPr="00330FFD" w:rsidRDefault="000F58FF" w:rsidP="000F58FF">
      <w:pPr>
        <w:pStyle w:val="ListParagraph"/>
        <w:spacing w:line="360" w:lineRule="auto"/>
        <w:ind w:left="709" w:hanging="425"/>
        <w:jc w:val="both"/>
        <w:rPr>
          <w:lang w:val="en-US"/>
        </w:rPr>
      </w:pPr>
      <w:r>
        <w:rPr>
          <w:lang w:val="en-US"/>
        </w:rPr>
        <w:t xml:space="preserve">Remsperger, Herrmann und Winkler, Adalbert (2009) Welchen Einfluss hat der Wechselkurs auf die Internationale Rolle von US-Dollar und Euro? </w:t>
      </w:r>
      <w:r>
        <w:rPr>
          <w:i/>
          <w:lang w:val="en-US"/>
        </w:rPr>
        <w:t>Perspektiven der Wirtschaftspolitik</w:t>
      </w:r>
      <w:r>
        <w:rPr>
          <w:lang w:val="en-US"/>
        </w:rPr>
        <w:t>. Zeitschrift des Vereins für Socialpolitik, 10(1), S. 21-38.</w:t>
      </w:r>
    </w:p>
    <w:p w:rsidR="000F58FF" w:rsidRDefault="000F58FF" w:rsidP="000F58FF">
      <w:pPr>
        <w:pStyle w:val="ListParagraph"/>
        <w:spacing w:line="360" w:lineRule="auto"/>
        <w:ind w:left="709" w:hanging="425"/>
        <w:jc w:val="both"/>
      </w:pPr>
      <w:r w:rsidRPr="00217FE0">
        <w:rPr>
          <w:lang w:val="en-US"/>
        </w:rPr>
        <w:t>Saccomanni</w:t>
      </w:r>
      <w:r w:rsidRPr="00217FE0">
        <w:rPr>
          <w:bCs/>
          <w:lang w:val="en-US"/>
        </w:rPr>
        <w:t xml:space="preserve">, Fabrizio (2010) </w:t>
      </w:r>
      <w:r w:rsidRPr="00217FE0">
        <w:rPr>
          <w:bCs/>
          <w:i/>
          <w:lang w:val="en-US"/>
        </w:rPr>
        <w:t>Fabrizio Saccomanni: The global crisis and the future of the international monetary system.</w:t>
      </w:r>
      <w:r w:rsidRPr="00217FE0">
        <w:rPr>
          <w:bCs/>
          <w:lang w:val="en-US"/>
        </w:rPr>
        <w:t xml:space="preserve"> </w:t>
      </w:r>
      <w:r w:rsidRPr="000F0F8B">
        <w:rPr>
          <w:bCs/>
        </w:rPr>
        <w:t>BIZ, 15.April 2010.</w:t>
      </w:r>
      <w:r w:rsidRPr="000F0F8B">
        <w:rPr>
          <w:i/>
        </w:rPr>
        <w:t xml:space="preserve"> </w:t>
      </w:r>
      <w:r w:rsidRPr="000F0F8B">
        <w:t>[</w:t>
      </w:r>
      <w:r w:rsidRPr="00407CC9">
        <w:t>Online]</w:t>
      </w:r>
      <w:r>
        <w:t xml:space="preserve"> </w:t>
      </w:r>
      <w:r w:rsidRPr="00407CC9">
        <w:t xml:space="preserve">verfügbar unter </w:t>
      </w:r>
      <w:hyperlink r:id="rId28" w:history="1">
        <w:r w:rsidRPr="00C45A7C">
          <w:rPr>
            <w:rStyle w:val="Hyperlink"/>
          </w:rPr>
          <w:t>http://www.bis.org/review/r100427e.pdf</w:t>
        </w:r>
      </w:hyperlink>
      <w:r>
        <w:t xml:space="preserve"> </w:t>
      </w:r>
      <w:r w:rsidRPr="00407CC9">
        <w:t xml:space="preserve">[zugegriffen am </w:t>
      </w:r>
      <w:r>
        <w:t>10</w:t>
      </w:r>
      <w:r w:rsidRPr="00407CC9">
        <w:t>.01.2011]</w:t>
      </w:r>
      <w:r>
        <w:t>.</w:t>
      </w:r>
    </w:p>
    <w:p w:rsidR="000F58FF" w:rsidRPr="000F0F8B" w:rsidRDefault="000F58FF" w:rsidP="000F58FF"/>
    <w:p w:rsidR="000F58FF" w:rsidRPr="00407CC9" w:rsidRDefault="000F58FF" w:rsidP="000F58FF">
      <w:pPr>
        <w:pStyle w:val="ListParagraph"/>
        <w:spacing w:line="360" w:lineRule="auto"/>
        <w:ind w:left="709" w:hanging="425"/>
        <w:jc w:val="both"/>
      </w:pPr>
    </w:p>
    <w:p w:rsidR="000F58FF" w:rsidRPr="00407CC9" w:rsidRDefault="000F58FF" w:rsidP="000F58FF">
      <w:pPr>
        <w:rPr>
          <w:i/>
        </w:rPr>
      </w:pPr>
    </w:p>
    <w:p w:rsidR="00351C87" w:rsidRDefault="00351C87"/>
    <w:sectPr w:rsidR="00351C87" w:rsidSect="00263B1A">
      <w:footerReference w:type="even" r:id="rId29"/>
      <w:footerReference w:type="default" r:id="rId30"/>
      <w:pgSz w:w="11900" w:h="16840"/>
      <w:pgMar w:top="1134" w:right="1418" w:bottom="822" w:left="1134" w:header="709" w:footer="983" w:gutter="0"/>
      <w:pgNumType w:start="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13C4">
      <w:pPr>
        <w:spacing w:after="0" w:line="240" w:lineRule="auto"/>
      </w:pPr>
      <w:r>
        <w:separator/>
      </w:r>
    </w:p>
  </w:endnote>
  <w:endnote w:type="continuationSeparator" w:id="0">
    <w:p w:rsidR="00000000" w:rsidRDefault="00B6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87" w:rsidRDefault="00380787" w:rsidP="006A1671">
    <w:pPr>
      <w:pStyle w:val="Footer"/>
      <w:framePr w:wrap="around" w:vAnchor="text" w:hAnchor="margin" w:xAlign="right" w:y="1"/>
      <w:rPr>
        <w:rStyle w:val="PageNumber"/>
      </w:rPr>
    </w:pPr>
    <w:r>
      <w:rPr>
        <w:rStyle w:val="PageNumber"/>
      </w:rPr>
      <w:fldChar w:fldCharType="begin"/>
    </w:r>
    <w:r w:rsidR="00351C87">
      <w:rPr>
        <w:rStyle w:val="PageNumber"/>
      </w:rPr>
      <w:instrText xml:space="preserve">PAGE  </w:instrText>
    </w:r>
    <w:r>
      <w:rPr>
        <w:rStyle w:val="PageNumber"/>
      </w:rPr>
      <w:fldChar w:fldCharType="end"/>
    </w:r>
  </w:p>
  <w:p w:rsidR="00351C87" w:rsidRDefault="00351C87" w:rsidP="006A16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87" w:rsidRDefault="00380787" w:rsidP="00351C87">
    <w:pPr>
      <w:pStyle w:val="Footer"/>
      <w:framePr w:wrap="around" w:vAnchor="text" w:hAnchor="margin" w:xAlign="right" w:y="1"/>
      <w:rPr>
        <w:rStyle w:val="PageNumber"/>
      </w:rPr>
    </w:pPr>
    <w:r>
      <w:rPr>
        <w:rStyle w:val="PageNumber"/>
      </w:rPr>
      <w:fldChar w:fldCharType="begin"/>
    </w:r>
    <w:r w:rsidR="00351C87">
      <w:rPr>
        <w:rStyle w:val="PageNumber"/>
      </w:rPr>
      <w:instrText xml:space="preserve">PAGE  </w:instrText>
    </w:r>
    <w:r>
      <w:rPr>
        <w:rStyle w:val="PageNumber"/>
      </w:rPr>
      <w:fldChar w:fldCharType="separate"/>
    </w:r>
    <w:r w:rsidR="00B613C4">
      <w:rPr>
        <w:rStyle w:val="PageNumber"/>
        <w:noProof/>
      </w:rPr>
      <w:t>1</w:t>
    </w:r>
    <w:r>
      <w:rPr>
        <w:rStyle w:val="PageNumber"/>
      </w:rPr>
      <w:fldChar w:fldCharType="end"/>
    </w:r>
  </w:p>
  <w:p w:rsidR="00351C87" w:rsidRDefault="00351C87" w:rsidP="006A16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13C4">
      <w:pPr>
        <w:spacing w:after="0" w:line="240" w:lineRule="auto"/>
      </w:pPr>
      <w:r>
        <w:separator/>
      </w:r>
    </w:p>
  </w:footnote>
  <w:footnote w:type="continuationSeparator" w:id="0">
    <w:p w:rsidR="00000000" w:rsidRDefault="00B613C4">
      <w:pPr>
        <w:spacing w:after="0" w:line="240" w:lineRule="auto"/>
      </w:pPr>
      <w:r>
        <w:continuationSeparator/>
      </w:r>
    </w:p>
  </w:footnote>
  <w:footnote w:id="1">
    <w:p w:rsidR="00351C87" w:rsidRDefault="00351C87" w:rsidP="000F58FF">
      <w:pPr>
        <w:pStyle w:val="FootnoteText"/>
      </w:pPr>
      <w:r>
        <w:rPr>
          <w:rStyle w:val="FootnoteReference"/>
        </w:rPr>
        <w:footnoteRef/>
      </w:r>
      <w:r>
        <w:t xml:space="preserve"> </w:t>
      </w:r>
      <w:r w:rsidRPr="004C1CB1">
        <w:rPr>
          <w:sz w:val="18"/>
        </w:rPr>
        <w:t>Remsperger und Winkler (2009).</w:t>
      </w:r>
      <w:r>
        <w:t xml:space="preserve"> </w:t>
      </w:r>
    </w:p>
  </w:footnote>
  <w:footnote w:id="2">
    <w:p w:rsidR="00351C87" w:rsidRPr="002E2270" w:rsidRDefault="00351C87" w:rsidP="000F58FF">
      <w:pPr>
        <w:pStyle w:val="FootnoteText"/>
        <w:rPr>
          <w:sz w:val="18"/>
        </w:rPr>
      </w:pPr>
      <w:r>
        <w:rPr>
          <w:rStyle w:val="FootnoteReference"/>
        </w:rPr>
        <w:footnoteRef/>
      </w:r>
      <w:r w:rsidRPr="00D05C2F">
        <w:rPr>
          <w:lang w:val="en-US"/>
        </w:rPr>
        <w:t xml:space="preserve"> </w:t>
      </w:r>
      <w:r w:rsidRPr="006B02E1">
        <w:rPr>
          <w:sz w:val="18"/>
        </w:rPr>
        <w:t>Vgl.</w:t>
      </w:r>
      <w:r>
        <w:rPr>
          <w:lang w:val="en-US"/>
        </w:rPr>
        <w:t xml:space="preserve"> </w:t>
      </w:r>
      <w:r>
        <w:rPr>
          <w:sz w:val="18"/>
        </w:rPr>
        <w:t xml:space="preserve">Bernake (2005). </w:t>
      </w:r>
    </w:p>
  </w:footnote>
  <w:footnote w:id="3">
    <w:p w:rsidR="00351C87" w:rsidRPr="00D05C2F" w:rsidRDefault="00351C87" w:rsidP="000F58FF">
      <w:pPr>
        <w:pStyle w:val="FootnoteText"/>
        <w:rPr>
          <w:lang w:val="en-US"/>
        </w:rPr>
      </w:pPr>
      <w:r w:rsidRPr="002E2270">
        <w:rPr>
          <w:sz w:val="18"/>
        </w:rPr>
        <w:footnoteRef/>
      </w:r>
      <w:r w:rsidRPr="002E2270">
        <w:rPr>
          <w:sz w:val="18"/>
        </w:rPr>
        <w:t xml:space="preserve"> </w:t>
      </w:r>
      <w:r>
        <w:rPr>
          <w:sz w:val="18"/>
        </w:rPr>
        <w:t xml:space="preserve">Vgl. </w:t>
      </w:r>
      <w:r w:rsidRPr="002E2270">
        <w:rPr>
          <w:sz w:val="18"/>
        </w:rPr>
        <w:t>Obstfeld</w:t>
      </w:r>
      <w:r>
        <w:rPr>
          <w:sz w:val="18"/>
        </w:rPr>
        <w:t xml:space="preserve"> (2010). </w:t>
      </w:r>
    </w:p>
  </w:footnote>
  <w:footnote w:id="4">
    <w:p w:rsidR="00351C87" w:rsidRDefault="00351C87" w:rsidP="000F58FF">
      <w:pPr>
        <w:pStyle w:val="FootnoteText"/>
      </w:pPr>
      <w:r>
        <w:rPr>
          <w:rStyle w:val="FootnoteReference"/>
        </w:rPr>
        <w:footnoteRef/>
      </w:r>
      <w:r>
        <w:t xml:space="preserve"> </w:t>
      </w:r>
      <w:r w:rsidRPr="00351F6D">
        <w:rPr>
          <w:sz w:val="18"/>
        </w:rPr>
        <w:t xml:space="preserve">Vgl. </w:t>
      </w:r>
      <w:r>
        <w:rPr>
          <w:sz w:val="18"/>
        </w:rPr>
        <w:t>G-20-Mitlgieder (2009a), S. 5ff sowie S.22.</w:t>
      </w:r>
    </w:p>
  </w:footnote>
  <w:footnote w:id="5">
    <w:p w:rsidR="00351C87" w:rsidRDefault="00351C87" w:rsidP="000F58FF">
      <w:pPr>
        <w:pStyle w:val="FootnoteText"/>
      </w:pPr>
      <w:r w:rsidRPr="00E06926">
        <w:rPr>
          <w:sz w:val="18"/>
        </w:rPr>
        <w:footnoteRef/>
      </w:r>
      <w:r w:rsidRPr="00E06926">
        <w:rPr>
          <w:sz w:val="18"/>
        </w:rPr>
        <w:t xml:space="preserve"> </w:t>
      </w:r>
      <w:r w:rsidRPr="001502C6">
        <w:rPr>
          <w:sz w:val="18"/>
        </w:rPr>
        <w:t>Vgl.</w:t>
      </w:r>
      <w:r>
        <w:rPr>
          <w:sz w:val="18"/>
        </w:rPr>
        <w:t xml:space="preserve"> </w:t>
      </w:r>
      <w:r w:rsidRPr="001502C6">
        <w:rPr>
          <w:sz w:val="18"/>
        </w:rPr>
        <w:t>G-20-Mitglieder (2010a), S. 3.</w:t>
      </w:r>
    </w:p>
  </w:footnote>
  <w:footnote w:id="6">
    <w:p w:rsidR="00351C87" w:rsidRDefault="00351C87" w:rsidP="000F58FF">
      <w:pPr>
        <w:pStyle w:val="FootnoteText"/>
      </w:pPr>
      <w:r>
        <w:rPr>
          <w:rStyle w:val="FootnoteReference"/>
        </w:rPr>
        <w:footnoteRef/>
      </w:r>
      <w:r>
        <w:t xml:space="preserve"> </w:t>
      </w:r>
      <w:r w:rsidRPr="00351F6D">
        <w:rPr>
          <w:sz w:val="18"/>
        </w:rPr>
        <w:t>Vgl. G-20-Mitlgieder (2009a), S. 5ff.</w:t>
      </w:r>
    </w:p>
  </w:footnote>
  <w:footnote w:id="7">
    <w:p w:rsidR="00351C87" w:rsidRDefault="00351C87" w:rsidP="000F58FF">
      <w:pPr>
        <w:pStyle w:val="FootnoteText"/>
      </w:pPr>
      <w:r>
        <w:rPr>
          <w:rStyle w:val="FootnoteReference"/>
        </w:rPr>
        <w:footnoteRef/>
      </w:r>
      <w:r>
        <w:t xml:space="preserve"> </w:t>
      </w:r>
      <w:r>
        <w:rPr>
          <w:sz w:val="18"/>
        </w:rPr>
        <w:t>Vgl</w:t>
      </w:r>
      <w:r w:rsidRPr="009D7750">
        <w:rPr>
          <w:sz w:val="18"/>
        </w:rPr>
        <w:t xml:space="preserve">. </w:t>
      </w:r>
      <w:r>
        <w:rPr>
          <w:sz w:val="18"/>
        </w:rPr>
        <w:t>G-20-Mitglieder (2008), S. 4 ff</w:t>
      </w:r>
      <w:r w:rsidRPr="009D7750">
        <w:rPr>
          <w:sz w:val="18"/>
        </w:rPr>
        <w:t>.</w:t>
      </w:r>
    </w:p>
  </w:footnote>
  <w:footnote w:id="8">
    <w:p w:rsidR="00351C87" w:rsidRDefault="00351C87" w:rsidP="000F58FF">
      <w:pPr>
        <w:pStyle w:val="FootnoteText"/>
      </w:pPr>
      <w:r w:rsidRPr="003A0A11">
        <w:rPr>
          <w:rStyle w:val="FootnoteReference"/>
        </w:rPr>
        <w:footnoteRef/>
      </w:r>
      <w:r w:rsidRPr="003A0A11">
        <w:rPr>
          <w:sz w:val="18"/>
        </w:rPr>
        <w:t xml:space="preserve"> Vgl.</w:t>
      </w:r>
      <w:r>
        <w:t xml:space="preserve"> </w:t>
      </w:r>
      <w:r>
        <w:rPr>
          <w:sz w:val="18"/>
        </w:rPr>
        <w:t xml:space="preserve">FSB (2009), S.1 ff. </w:t>
      </w:r>
    </w:p>
  </w:footnote>
  <w:footnote w:id="9">
    <w:p w:rsidR="00351C87" w:rsidRDefault="00351C87" w:rsidP="000F58FF">
      <w:pPr>
        <w:pStyle w:val="FootnoteText"/>
      </w:pPr>
      <w:r>
        <w:rPr>
          <w:rStyle w:val="FootnoteReference"/>
        </w:rPr>
        <w:footnoteRef/>
      </w:r>
      <w:r>
        <w:t xml:space="preserve"> </w:t>
      </w:r>
      <w:r w:rsidRPr="009D7750">
        <w:rPr>
          <w:sz w:val="18"/>
        </w:rPr>
        <w:t>Vgl.</w:t>
      </w:r>
      <w:r>
        <w:rPr>
          <w:sz w:val="18"/>
        </w:rPr>
        <w:t xml:space="preserve"> G-20-Mitglieder (2009b), S. 3 ff</w:t>
      </w:r>
      <w:r w:rsidRPr="009D7750">
        <w:rPr>
          <w:sz w:val="18"/>
        </w:rPr>
        <w:t>.</w:t>
      </w:r>
    </w:p>
  </w:footnote>
  <w:footnote w:id="10">
    <w:p w:rsidR="00351C87" w:rsidRDefault="00351C87" w:rsidP="000F58FF">
      <w:pPr>
        <w:pStyle w:val="FootnoteText"/>
      </w:pPr>
      <w:r>
        <w:rPr>
          <w:rStyle w:val="FootnoteReference"/>
        </w:rPr>
        <w:footnoteRef/>
      </w:r>
      <w:r>
        <w:t xml:space="preserve"> </w:t>
      </w:r>
      <w:r w:rsidRPr="00680887">
        <w:rPr>
          <w:sz w:val="18"/>
        </w:rPr>
        <w:t>Vgl</w:t>
      </w:r>
      <w:r>
        <w:t xml:space="preserve">. </w:t>
      </w:r>
      <w:r w:rsidRPr="007A35CA">
        <w:rPr>
          <w:sz w:val="18"/>
        </w:rPr>
        <w:t>BIZ (2010), S.1</w:t>
      </w:r>
      <w:r>
        <w:rPr>
          <w:sz w:val="18"/>
        </w:rPr>
        <w:t xml:space="preserve">. </w:t>
      </w:r>
    </w:p>
  </w:footnote>
  <w:footnote w:id="11">
    <w:p w:rsidR="00351C87" w:rsidRDefault="00351C87" w:rsidP="000F58FF">
      <w:pPr>
        <w:pStyle w:val="FootnoteText"/>
      </w:pPr>
      <w:r>
        <w:rPr>
          <w:rStyle w:val="FootnoteReference"/>
        </w:rPr>
        <w:footnoteRef/>
      </w:r>
      <w:r>
        <w:t xml:space="preserve"> </w:t>
      </w:r>
      <w:r w:rsidRPr="009D7750">
        <w:rPr>
          <w:sz w:val="18"/>
        </w:rPr>
        <w:t>Vgl. G-20-Mitglieder (2010</w:t>
      </w:r>
      <w:r>
        <w:rPr>
          <w:sz w:val="18"/>
        </w:rPr>
        <w:t>b</w:t>
      </w:r>
      <w:r w:rsidRPr="009D7750">
        <w:rPr>
          <w:sz w:val="18"/>
        </w:rPr>
        <w:t>), S. 7.</w:t>
      </w:r>
    </w:p>
  </w:footnote>
  <w:footnote w:id="12">
    <w:p w:rsidR="00351C87" w:rsidRPr="00AF3292" w:rsidRDefault="00351C87" w:rsidP="000F58FF">
      <w:pPr>
        <w:pStyle w:val="FootnoteText"/>
        <w:rPr>
          <w:sz w:val="18"/>
        </w:rPr>
      </w:pPr>
      <w:r w:rsidRPr="00AF3292">
        <w:rPr>
          <w:rStyle w:val="FootnoteReference"/>
          <w:sz w:val="18"/>
        </w:rPr>
        <w:footnoteRef/>
      </w:r>
      <w:r w:rsidRPr="00AF3292">
        <w:rPr>
          <w:sz w:val="18"/>
        </w:rPr>
        <w:t xml:space="preserve"> Vgl. Geithner (2010).</w:t>
      </w:r>
    </w:p>
  </w:footnote>
  <w:footnote w:id="13">
    <w:p w:rsidR="00351C87" w:rsidRDefault="00351C87" w:rsidP="000F58FF">
      <w:pPr>
        <w:pStyle w:val="FootnoteText"/>
      </w:pPr>
      <w:r w:rsidRPr="00AF3292">
        <w:rPr>
          <w:rStyle w:val="FootnoteReference"/>
          <w:sz w:val="18"/>
        </w:rPr>
        <w:footnoteRef/>
      </w:r>
      <w:r w:rsidRPr="00AF3292">
        <w:rPr>
          <w:sz w:val="18"/>
        </w:rPr>
        <w:t xml:space="preserve"> Vgl. Irwin und Schneider (2010).</w:t>
      </w:r>
    </w:p>
  </w:footnote>
  <w:footnote w:id="14">
    <w:p w:rsidR="00351C87" w:rsidRPr="00AF3292" w:rsidRDefault="00351C87" w:rsidP="000F58FF">
      <w:pPr>
        <w:pStyle w:val="FootnoteText"/>
        <w:rPr>
          <w:sz w:val="18"/>
        </w:rPr>
      </w:pPr>
      <w:r>
        <w:rPr>
          <w:rStyle w:val="FootnoteReference"/>
        </w:rPr>
        <w:footnoteRef/>
      </w:r>
      <w:r>
        <w:t xml:space="preserve"> </w:t>
      </w:r>
      <w:r>
        <w:rPr>
          <w:sz w:val="18"/>
        </w:rPr>
        <w:t>Vgl. G-20-Finanzminister und Notenbankchefs (2010), S. 1.</w:t>
      </w:r>
    </w:p>
  </w:footnote>
  <w:footnote w:id="15">
    <w:p w:rsidR="00351C87" w:rsidRPr="00217FE0" w:rsidRDefault="00351C87" w:rsidP="000F58FF">
      <w:pPr>
        <w:pStyle w:val="FootnoteText"/>
        <w:rPr>
          <w:lang w:val="en-US"/>
        </w:rPr>
      </w:pPr>
      <w:r>
        <w:rPr>
          <w:rStyle w:val="FootnoteReference"/>
        </w:rPr>
        <w:footnoteRef/>
      </w:r>
      <w:r w:rsidRPr="00217FE0">
        <w:rPr>
          <w:lang w:val="en-US"/>
        </w:rPr>
        <w:t xml:space="preserve"> </w:t>
      </w:r>
      <w:r w:rsidRPr="00217FE0">
        <w:rPr>
          <w:sz w:val="18"/>
          <w:lang w:val="en-US"/>
        </w:rPr>
        <w:t>Vgl. Prasad (2009).</w:t>
      </w:r>
      <w:r w:rsidRPr="00217FE0">
        <w:rPr>
          <w:lang w:val="en-US"/>
        </w:rPr>
        <w:t xml:space="preserve"> </w:t>
      </w:r>
    </w:p>
  </w:footnote>
  <w:footnote w:id="16">
    <w:p w:rsidR="00351C87" w:rsidRPr="00281B9C" w:rsidRDefault="00351C87" w:rsidP="000F58FF">
      <w:pPr>
        <w:pStyle w:val="FootnoteText"/>
        <w:rPr>
          <w:lang w:val="en-US"/>
        </w:rPr>
      </w:pPr>
      <w:r>
        <w:rPr>
          <w:rStyle w:val="FootnoteReference"/>
        </w:rPr>
        <w:footnoteRef/>
      </w:r>
      <w:r w:rsidRPr="00281B9C">
        <w:rPr>
          <w:lang w:val="en-US"/>
        </w:rPr>
        <w:t xml:space="preserve"> </w:t>
      </w:r>
      <w:r w:rsidRPr="00F3756C">
        <w:rPr>
          <w:sz w:val="18"/>
          <w:lang w:val="en-US"/>
        </w:rPr>
        <w:t>Vgl. Bennhold (2010)</w:t>
      </w:r>
      <w:r>
        <w:rPr>
          <w:sz w:val="18"/>
          <w:lang w:val="en-US"/>
        </w:rPr>
        <w:t>.</w:t>
      </w:r>
    </w:p>
  </w:footnote>
  <w:footnote w:id="17">
    <w:p w:rsidR="00351C87" w:rsidRDefault="00351C87" w:rsidP="000F58FF">
      <w:pPr>
        <w:pStyle w:val="FootnoteText"/>
      </w:pPr>
      <w:r>
        <w:rPr>
          <w:rStyle w:val="FootnoteReference"/>
        </w:rPr>
        <w:footnoteRef/>
      </w:r>
      <w:r>
        <w:t xml:space="preserve"> </w:t>
      </w:r>
      <w:r w:rsidRPr="005D1564">
        <w:rPr>
          <w:sz w:val="18"/>
        </w:rPr>
        <w:t>Vgl.</w:t>
      </w:r>
      <w:r>
        <w:t xml:space="preserve"> </w:t>
      </w:r>
      <w:r w:rsidRPr="00FD6704">
        <w:rPr>
          <w:sz w:val="18"/>
        </w:rPr>
        <w:t>Mosley und Singer (2009), S. 423.</w:t>
      </w:r>
    </w:p>
  </w:footnote>
  <w:footnote w:id="18">
    <w:p w:rsidR="00351C87" w:rsidRDefault="00351C87" w:rsidP="000F58FF">
      <w:pPr>
        <w:pStyle w:val="FootnoteText"/>
      </w:pPr>
      <w:r>
        <w:rPr>
          <w:rStyle w:val="FootnoteReference"/>
        </w:rPr>
        <w:footnoteRef/>
      </w:r>
      <w:r>
        <w:t xml:space="preserve"> </w:t>
      </w:r>
      <w:r w:rsidRPr="001C32DE">
        <w:rPr>
          <w:sz w:val="18"/>
        </w:rPr>
        <w:t>G-20-Mitgliedstaaten (2009</w:t>
      </w:r>
      <w:r>
        <w:rPr>
          <w:sz w:val="18"/>
        </w:rPr>
        <w:t>a</w:t>
      </w:r>
      <w:r w:rsidRPr="001C32DE">
        <w:rPr>
          <w:sz w:val="18"/>
        </w:rPr>
        <w:t>), S. 3.</w:t>
      </w:r>
    </w:p>
  </w:footnote>
  <w:footnote w:id="19">
    <w:p w:rsidR="00351C87" w:rsidRDefault="00351C87" w:rsidP="000F58FF">
      <w:pPr>
        <w:pStyle w:val="FootnoteText"/>
      </w:pPr>
      <w:r>
        <w:rPr>
          <w:rStyle w:val="FootnoteReference"/>
        </w:rPr>
        <w:footnoteRef/>
      </w:r>
      <w:r>
        <w:t xml:space="preserve"> </w:t>
      </w:r>
      <w:r w:rsidRPr="005D1564">
        <w:rPr>
          <w:sz w:val="18"/>
        </w:rPr>
        <w:t xml:space="preserve">Vgl. </w:t>
      </w:r>
      <w:r w:rsidRPr="00D373CF">
        <w:rPr>
          <w:sz w:val="18"/>
        </w:rPr>
        <w:t>IWF (2010</w:t>
      </w:r>
      <w:r>
        <w:rPr>
          <w:sz w:val="18"/>
        </w:rPr>
        <w:t>a</w:t>
      </w:r>
      <w:r w:rsidRPr="00D373CF">
        <w:rPr>
          <w:sz w:val="18"/>
        </w:rPr>
        <w:t>), S.1</w:t>
      </w:r>
      <w:r>
        <w:rPr>
          <w:sz w:val="18"/>
        </w:rPr>
        <w:t>.</w:t>
      </w:r>
    </w:p>
  </w:footnote>
  <w:footnote w:id="20">
    <w:p w:rsidR="00351C87" w:rsidRDefault="00351C87" w:rsidP="000F58FF">
      <w:pPr>
        <w:pStyle w:val="FootnoteText"/>
      </w:pPr>
      <w:r>
        <w:rPr>
          <w:rStyle w:val="FootnoteReference"/>
        </w:rPr>
        <w:footnoteRef/>
      </w:r>
      <w:r>
        <w:t xml:space="preserve"> </w:t>
      </w:r>
      <w:r w:rsidRPr="007017D5">
        <w:rPr>
          <w:sz w:val="18"/>
        </w:rPr>
        <w:t>siehe z.B. Dreher und Jensen (2007)</w:t>
      </w:r>
      <w:r>
        <w:rPr>
          <w:sz w:val="18"/>
        </w:rPr>
        <w:t>, Oatley und Yackee (2004), oder Bird und Rowlands (2001).</w:t>
      </w:r>
    </w:p>
  </w:footnote>
  <w:footnote w:id="21">
    <w:p w:rsidR="00351C87" w:rsidRDefault="00351C87" w:rsidP="000F58FF">
      <w:pPr>
        <w:pStyle w:val="FootnoteText"/>
      </w:pPr>
      <w:r>
        <w:rPr>
          <w:rStyle w:val="FootnoteReference"/>
        </w:rPr>
        <w:footnoteRef/>
      </w:r>
      <w:r>
        <w:t xml:space="preserve"> </w:t>
      </w:r>
      <w:r w:rsidRPr="005D1564">
        <w:rPr>
          <w:sz w:val="18"/>
        </w:rPr>
        <w:t xml:space="preserve">Vgl. </w:t>
      </w:r>
      <w:r w:rsidRPr="00110C91">
        <w:rPr>
          <w:sz w:val="18"/>
        </w:rPr>
        <w:t>IWF (2010b), S. 1.</w:t>
      </w:r>
    </w:p>
  </w:footnote>
  <w:footnote w:id="22">
    <w:p w:rsidR="00351C87" w:rsidRDefault="00351C87" w:rsidP="000F58FF">
      <w:pPr>
        <w:pStyle w:val="FootnoteText"/>
      </w:pPr>
      <w:r>
        <w:rPr>
          <w:rStyle w:val="FootnoteReference"/>
        </w:rPr>
        <w:footnoteRef/>
      </w:r>
      <w:r>
        <w:t xml:space="preserve"> </w:t>
      </w:r>
      <w:r>
        <w:rPr>
          <w:sz w:val="18"/>
        </w:rPr>
        <w:t>Vgl. G-20-Mitglieder (2009c), S. 1</w:t>
      </w:r>
      <w:r w:rsidRPr="009D7750">
        <w:rPr>
          <w:sz w:val="18"/>
        </w:rPr>
        <w:t>.</w:t>
      </w:r>
      <w:r>
        <w:rPr>
          <w:sz w:val="18"/>
        </w:rPr>
        <w:t xml:space="preserve"> Nichtsdestotrotz machen die SDRs nach der Erhöhung nur 5 Prozent der globalen Fremdwährungsreserven aus. Vgl. </w:t>
      </w:r>
      <w:r w:rsidRPr="009C7598">
        <w:rPr>
          <w:sz w:val="18"/>
        </w:rPr>
        <w:t>Saccomanni</w:t>
      </w:r>
      <w:r>
        <w:rPr>
          <w:sz w:val="18"/>
        </w:rPr>
        <w:t xml:space="preserve"> (2010), S.5.</w:t>
      </w:r>
    </w:p>
  </w:footnote>
  <w:footnote w:id="23">
    <w:p w:rsidR="00351C87" w:rsidRDefault="00351C87" w:rsidP="000F58FF">
      <w:pPr>
        <w:pStyle w:val="FootnoteText"/>
      </w:pPr>
      <w:r>
        <w:rPr>
          <w:rStyle w:val="FootnoteReference"/>
        </w:rPr>
        <w:footnoteRef/>
      </w:r>
      <w:r>
        <w:t xml:space="preserve"> </w:t>
      </w:r>
      <w:r w:rsidRPr="00EC6F71">
        <w:rPr>
          <w:sz w:val="18"/>
        </w:rPr>
        <w:t>Eichengreen</w:t>
      </w:r>
      <w:r>
        <w:rPr>
          <w:sz w:val="18"/>
        </w:rPr>
        <w:t xml:space="preserve"> (2010), S. 7f.</w:t>
      </w:r>
    </w:p>
  </w:footnote>
  <w:footnote w:id="24">
    <w:p w:rsidR="00351C87" w:rsidRDefault="00351C87" w:rsidP="000F58FF">
      <w:pPr>
        <w:pStyle w:val="FootnoteText"/>
      </w:pPr>
      <w:r>
        <w:rPr>
          <w:rStyle w:val="FootnoteReference"/>
        </w:rPr>
        <w:footnoteRef/>
      </w:r>
      <w:r>
        <w:t xml:space="preserve"> </w:t>
      </w:r>
      <w:r>
        <w:rPr>
          <w:sz w:val="18"/>
        </w:rPr>
        <w:t>Die Er</w:t>
      </w:r>
      <w:r w:rsidRPr="00B8716F">
        <w:rPr>
          <w:sz w:val="18"/>
        </w:rPr>
        <w:t>höhung der SDR durch den Beschluss der G-20 hat</w:t>
      </w:r>
      <w:r>
        <w:rPr>
          <w:sz w:val="18"/>
        </w:rPr>
        <w:t xml:space="preserve"> zu Kritik seitens der Zentralbanken </w:t>
      </w:r>
      <w:r w:rsidRPr="00B8716F">
        <w:rPr>
          <w:sz w:val="18"/>
        </w:rPr>
        <w:t>geführt. Siehe Engelen und Kurm-Engles (2009)</w:t>
      </w:r>
      <w:r>
        <w:rPr>
          <w:sz w:val="18"/>
        </w:rPr>
        <w:t>.</w:t>
      </w:r>
    </w:p>
  </w:footnote>
  <w:footnote w:id="25">
    <w:p w:rsidR="00351C87" w:rsidRDefault="00351C87" w:rsidP="000F58FF">
      <w:pPr>
        <w:pStyle w:val="FootnoteText"/>
      </w:pPr>
      <w:r>
        <w:rPr>
          <w:rStyle w:val="FootnoteReference"/>
        </w:rPr>
        <w:footnoteRef/>
      </w:r>
      <w:r>
        <w:t xml:space="preserve"> </w:t>
      </w:r>
      <w:r w:rsidRPr="00EE5129">
        <w:rPr>
          <w:sz w:val="18"/>
        </w:rPr>
        <w:t>Mateos y Lago</w:t>
      </w:r>
      <w:r>
        <w:rPr>
          <w:sz w:val="18"/>
        </w:rPr>
        <w:t xml:space="preserve"> et al (2009), S. 20f.</w:t>
      </w:r>
    </w:p>
  </w:footnote>
  <w:footnote w:id="26">
    <w:p w:rsidR="00351C87" w:rsidRDefault="00351C87" w:rsidP="000F58FF">
      <w:pPr>
        <w:pStyle w:val="FootnoteText"/>
      </w:pPr>
      <w:r>
        <w:rPr>
          <w:rStyle w:val="FootnoteReference"/>
        </w:rPr>
        <w:footnoteRef/>
      </w:r>
      <w:r>
        <w:t xml:space="preserve"> </w:t>
      </w:r>
      <w:r>
        <w:rPr>
          <w:sz w:val="18"/>
        </w:rPr>
        <w:t>Verfolgt man die Zusammensetz</w:t>
      </w:r>
      <w:r w:rsidRPr="00470B23">
        <w:rPr>
          <w:sz w:val="18"/>
        </w:rPr>
        <w:t>ung de</w:t>
      </w:r>
      <w:r>
        <w:rPr>
          <w:sz w:val="18"/>
        </w:rPr>
        <w:t>r Weltreserven w</w:t>
      </w:r>
      <w:r w:rsidRPr="00470B23">
        <w:rPr>
          <w:sz w:val="18"/>
        </w:rPr>
        <w:t xml:space="preserve">eltweit so macht der Euro einen zunehmenden </w:t>
      </w:r>
      <w:r>
        <w:rPr>
          <w:sz w:val="18"/>
        </w:rPr>
        <w:t>Anteil seit seiner Implementierung</w:t>
      </w:r>
      <w:r w:rsidRPr="00470B23">
        <w:rPr>
          <w:sz w:val="18"/>
        </w:rPr>
        <w:t xml:space="preserve"> aus (von 18 Prozent in 2001 zu ca. 27 Prozent in 2009) Vgl. IWF (2010c), S. 7f.</w:t>
      </w:r>
    </w:p>
  </w:footnote>
  <w:footnote w:id="27">
    <w:p w:rsidR="00351C87" w:rsidRDefault="00351C87" w:rsidP="000F58FF">
      <w:pPr>
        <w:pStyle w:val="FootnoteText"/>
      </w:pPr>
      <w:r>
        <w:rPr>
          <w:rStyle w:val="FootnoteReference"/>
        </w:rPr>
        <w:footnoteRef/>
      </w:r>
      <w:r>
        <w:t xml:space="preserve"> </w:t>
      </w:r>
      <w:r w:rsidRPr="00304022">
        <w:rPr>
          <w:sz w:val="18"/>
        </w:rPr>
        <w:t>Vgl. Eichengreen (2010), S. 4f.</w:t>
      </w:r>
    </w:p>
  </w:footnote>
  <w:footnote w:id="28">
    <w:p w:rsidR="00351C87" w:rsidRDefault="00351C87" w:rsidP="000F58FF">
      <w:pPr>
        <w:pStyle w:val="FootnoteText"/>
      </w:pPr>
      <w:r>
        <w:rPr>
          <w:rStyle w:val="FootnoteReference"/>
        </w:rPr>
        <w:footnoteRef/>
      </w:r>
      <w:r>
        <w:t xml:space="preserve"> </w:t>
      </w:r>
      <w:r w:rsidRPr="001502C6">
        <w:rPr>
          <w:sz w:val="18"/>
        </w:rPr>
        <w:t xml:space="preserve">Vgl. </w:t>
      </w:r>
      <w:r>
        <w:rPr>
          <w:sz w:val="18"/>
        </w:rPr>
        <w:t>Nicholson</w:t>
      </w:r>
      <w:r w:rsidRPr="001502C6">
        <w:rPr>
          <w:sz w:val="18"/>
        </w:rPr>
        <w:t xml:space="preserve">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0C1E3A"/>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4F03FF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A75262"/>
    <w:multiLevelType w:val="multilevel"/>
    <w:tmpl w:val="4C3AB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8B3DCA"/>
    <w:multiLevelType w:val="hybridMultilevel"/>
    <w:tmpl w:val="6184725E"/>
    <w:lvl w:ilvl="0" w:tplc="F412DD36">
      <w:start w:val="1"/>
      <w:numFmt w:val="decimal"/>
      <w:lvlText w:val="%1."/>
      <w:lvlJc w:val="left"/>
      <w:pPr>
        <w:tabs>
          <w:tab w:val="num" w:pos="0"/>
        </w:tabs>
        <w:ind w:left="113" w:hanging="113"/>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0693715"/>
    <w:multiLevelType w:val="hybridMultilevel"/>
    <w:tmpl w:val="EA4265D2"/>
    <w:lvl w:ilvl="0" w:tplc="E3805DF8">
      <w:start w:val="1"/>
      <w:numFmt w:val="decimal"/>
      <w:lvlText w:val="%1."/>
      <w:lvlJc w:val="left"/>
      <w:pPr>
        <w:tabs>
          <w:tab w:val="num" w:pos="432"/>
        </w:tabs>
        <w:ind w:left="545" w:hanging="113"/>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5">
    <w:nsid w:val="15B44520"/>
    <w:multiLevelType w:val="multilevel"/>
    <w:tmpl w:val="CD247A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73C1F51"/>
    <w:multiLevelType w:val="hybridMultilevel"/>
    <w:tmpl w:val="273EB8B6"/>
    <w:lvl w:ilvl="0" w:tplc="0407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1F1558A"/>
    <w:multiLevelType w:val="hybridMultilevel"/>
    <w:tmpl w:val="AFAA94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4145065"/>
    <w:multiLevelType w:val="multilevel"/>
    <w:tmpl w:val="CF4898AA"/>
    <w:lvl w:ilvl="0">
      <w:start w:val="1"/>
      <w:numFmt w:val="bullet"/>
      <w:lvlText w:val=""/>
      <w:lvlJc w:val="left"/>
      <w:pPr>
        <w:ind w:left="113"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4214953"/>
    <w:multiLevelType w:val="hybridMultilevel"/>
    <w:tmpl w:val="553AF6F4"/>
    <w:lvl w:ilvl="0" w:tplc="0407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6BE110F"/>
    <w:multiLevelType w:val="multilevel"/>
    <w:tmpl w:val="7E70039C"/>
    <w:lvl w:ilvl="0">
      <w:start w:val="1"/>
      <w:numFmt w:val="decimal"/>
      <w:lvlText w:val="%1."/>
      <w:lvlJc w:val="left"/>
      <w:pPr>
        <w:tabs>
          <w:tab w:val="num" w:pos="0"/>
        </w:tabs>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253EE9"/>
    <w:multiLevelType w:val="multilevel"/>
    <w:tmpl w:val="E0B2CF9E"/>
    <w:lvl w:ilvl="0">
      <w:start w:val="1"/>
      <w:numFmt w:val="bullet"/>
      <w:lvlText w:val=""/>
      <w:lvlJc w:val="left"/>
      <w:pPr>
        <w:tabs>
          <w:tab w:val="num" w:pos="113"/>
        </w:tabs>
        <w:ind w:left="113"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D72205C"/>
    <w:multiLevelType w:val="hybridMultilevel"/>
    <w:tmpl w:val="2086FFC8"/>
    <w:lvl w:ilvl="0" w:tplc="77568E44">
      <w:start w:val="1"/>
      <w:numFmt w:val="bullet"/>
      <w:lvlText w:val=""/>
      <w:lvlJc w:val="left"/>
      <w:pPr>
        <w:ind w:left="113" w:hanging="11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4866A7"/>
    <w:multiLevelType w:val="hybridMultilevel"/>
    <w:tmpl w:val="CF4898AA"/>
    <w:lvl w:ilvl="0" w:tplc="FA981DB0">
      <w:start w:val="1"/>
      <w:numFmt w:val="bullet"/>
      <w:lvlText w:val=""/>
      <w:lvlJc w:val="left"/>
      <w:pPr>
        <w:ind w:left="113" w:firstLine="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D2E4DF0"/>
    <w:multiLevelType w:val="multilevel"/>
    <w:tmpl w:val="CD247A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4A53110"/>
    <w:multiLevelType w:val="multilevel"/>
    <w:tmpl w:val="3C086AEA"/>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A2C356A"/>
    <w:multiLevelType w:val="multilevel"/>
    <w:tmpl w:val="8B1C3EB6"/>
    <w:lvl w:ilvl="0">
      <w:start w:val="4"/>
      <w:numFmt w:val="bullet"/>
      <w:pStyle w:val="Aufzhlung"/>
      <w:lvlText w:val="-"/>
      <w:lvlJc w:val="left"/>
      <w:pPr>
        <w:tabs>
          <w:tab w:val="num" w:pos="720"/>
        </w:tabs>
        <w:ind w:left="720" w:firstLine="0"/>
      </w:pPr>
      <w:rPr>
        <w:rFonts w:ascii="Arial Narrow" w:eastAsia="Times New Roman" w:hAnsi="Arial Narro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7">
    <w:nsid w:val="54EA6348"/>
    <w:multiLevelType w:val="multilevel"/>
    <w:tmpl w:val="17B28C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574071EA"/>
    <w:multiLevelType w:val="hybridMultilevel"/>
    <w:tmpl w:val="E0B2CF9E"/>
    <w:lvl w:ilvl="0" w:tplc="EB9670CE">
      <w:start w:val="1"/>
      <w:numFmt w:val="bullet"/>
      <w:lvlText w:val=""/>
      <w:lvlJc w:val="left"/>
      <w:pPr>
        <w:tabs>
          <w:tab w:val="num" w:pos="113"/>
        </w:tabs>
        <w:ind w:left="113" w:firstLine="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ABA53A0"/>
    <w:multiLevelType w:val="hybridMultilevel"/>
    <w:tmpl w:val="EB6AE7B2"/>
    <w:lvl w:ilvl="0" w:tplc="702254E8">
      <w:start w:val="4"/>
      <w:numFmt w:val="bullet"/>
      <w:lvlText w:val="-"/>
      <w:lvlJc w:val="left"/>
      <w:pPr>
        <w:tabs>
          <w:tab w:val="num" w:pos="0"/>
        </w:tabs>
        <w:ind w:left="0" w:firstLine="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CC40670"/>
    <w:multiLevelType w:val="hybridMultilevel"/>
    <w:tmpl w:val="A000AE9C"/>
    <w:lvl w:ilvl="0" w:tplc="54B059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1815FA8"/>
    <w:multiLevelType w:val="multilevel"/>
    <w:tmpl w:val="AFAA9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BD3B72"/>
    <w:multiLevelType w:val="multilevel"/>
    <w:tmpl w:val="66BA48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30C21C2"/>
    <w:multiLevelType w:val="multilevel"/>
    <w:tmpl w:val="E22E85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6449012C"/>
    <w:multiLevelType w:val="multilevel"/>
    <w:tmpl w:val="AFAA9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BE278A0"/>
    <w:multiLevelType w:val="multilevel"/>
    <w:tmpl w:val="7E70039C"/>
    <w:lvl w:ilvl="0">
      <w:start w:val="1"/>
      <w:numFmt w:val="decimal"/>
      <w:lvlText w:val="%1."/>
      <w:lvlJc w:val="left"/>
      <w:pPr>
        <w:tabs>
          <w:tab w:val="num" w:pos="0"/>
        </w:tabs>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35268C9"/>
    <w:multiLevelType w:val="hybridMultilevel"/>
    <w:tmpl w:val="A1FE1508"/>
    <w:lvl w:ilvl="0" w:tplc="225EC016">
      <w:start w:val="1"/>
      <w:numFmt w:val="bullet"/>
      <w:lvlText w:val=""/>
      <w:lvlJc w:val="left"/>
      <w:pPr>
        <w:ind w:left="113" w:hanging="113"/>
      </w:pPr>
      <w:rPr>
        <w:rFonts w:ascii="Symbol" w:hAnsi="Symbol" w:hint="default"/>
        <w:lang w:val="en-US"/>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6131694"/>
    <w:multiLevelType w:val="hybridMultilevel"/>
    <w:tmpl w:val="7E70039C"/>
    <w:lvl w:ilvl="0" w:tplc="3DF2E140">
      <w:start w:val="1"/>
      <w:numFmt w:val="decimal"/>
      <w:lvlText w:val="%1."/>
      <w:lvlJc w:val="left"/>
      <w:pPr>
        <w:tabs>
          <w:tab w:val="num" w:pos="0"/>
        </w:tabs>
        <w:ind w:left="113" w:hanging="113"/>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DDE0B70"/>
    <w:multiLevelType w:val="multilevel"/>
    <w:tmpl w:val="6F4AE3E6"/>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6"/>
  </w:num>
  <w:num w:numId="3">
    <w:abstractNumId w:val="16"/>
  </w:num>
  <w:num w:numId="4">
    <w:abstractNumId w:val="0"/>
  </w:num>
  <w:num w:numId="5">
    <w:abstractNumId w:val="0"/>
  </w:num>
  <w:num w:numId="6">
    <w:abstractNumId w:val="1"/>
  </w:num>
  <w:num w:numId="7">
    <w:abstractNumId w:val="16"/>
  </w:num>
  <w:num w:numId="8">
    <w:abstractNumId w:val="16"/>
  </w:num>
  <w:num w:numId="9">
    <w:abstractNumId w:val="16"/>
  </w:num>
  <w:num w:numId="10">
    <w:abstractNumId w:val="16"/>
  </w:num>
  <w:num w:numId="11">
    <w:abstractNumId w:val="17"/>
  </w:num>
  <w:num w:numId="12">
    <w:abstractNumId w:val="17"/>
  </w:num>
  <w:num w:numId="13">
    <w:abstractNumId w:val="17"/>
  </w:num>
  <w:num w:numId="14">
    <w:abstractNumId w:val="17"/>
  </w:num>
  <w:num w:numId="15">
    <w:abstractNumId w:val="23"/>
  </w:num>
  <w:num w:numId="16">
    <w:abstractNumId w:val="23"/>
  </w:num>
  <w:num w:numId="17">
    <w:abstractNumId w:val="17"/>
  </w:num>
  <w:num w:numId="18">
    <w:abstractNumId w:val="17"/>
  </w:num>
  <w:num w:numId="19">
    <w:abstractNumId w:val="27"/>
  </w:num>
  <w:num w:numId="20">
    <w:abstractNumId w:val="21"/>
  </w:num>
  <w:num w:numId="21">
    <w:abstractNumId w:val="19"/>
  </w:num>
  <w:num w:numId="22">
    <w:abstractNumId w:val="18"/>
  </w:num>
  <w:num w:numId="23">
    <w:abstractNumId w:val="11"/>
  </w:num>
  <w:num w:numId="24">
    <w:abstractNumId w:val="13"/>
  </w:num>
  <w:num w:numId="25">
    <w:abstractNumId w:val="8"/>
  </w:num>
  <w:num w:numId="26">
    <w:abstractNumId w:val="26"/>
  </w:num>
  <w:num w:numId="27">
    <w:abstractNumId w:val="7"/>
  </w:num>
  <w:num w:numId="28">
    <w:abstractNumId w:val="24"/>
  </w:num>
  <w:num w:numId="29">
    <w:abstractNumId w:val="2"/>
  </w:num>
  <w:num w:numId="30">
    <w:abstractNumId w:val="3"/>
  </w:num>
  <w:num w:numId="31">
    <w:abstractNumId w:val="25"/>
  </w:num>
  <w:num w:numId="32">
    <w:abstractNumId w:val="12"/>
  </w:num>
  <w:num w:numId="33">
    <w:abstractNumId w:val="10"/>
  </w:num>
  <w:num w:numId="34">
    <w:abstractNumId w:val="6"/>
  </w:num>
  <w:num w:numId="35">
    <w:abstractNumId w:val="9"/>
  </w:num>
  <w:num w:numId="36">
    <w:abstractNumId w:val="20"/>
  </w:num>
  <w:num w:numId="37">
    <w:abstractNumId w:val="4"/>
  </w:num>
  <w:num w:numId="38">
    <w:abstractNumId w:val="14"/>
  </w:num>
  <w:num w:numId="39">
    <w:abstractNumId w:val="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8"/>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FF"/>
    <w:rsid w:val="000F0304"/>
    <w:rsid w:val="000F58FF"/>
    <w:rsid w:val="0015279F"/>
    <w:rsid w:val="00263B1A"/>
    <w:rsid w:val="002C292E"/>
    <w:rsid w:val="00351C87"/>
    <w:rsid w:val="00380787"/>
    <w:rsid w:val="004759CC"/>
    <w:rsid w:val="006975D2"/>
    <w:rsid w:val="006A1671"/>
    <w:rsid w:val="006A674D"/>
    <w:rsid w:val="00747AB0"/>
    <w:rsid w:val="008C6C27"/>
    <w:rsid w:val="009B57A6"/>
    <w:rsid w:val="00AB5373"/>
    <w:rsid w:val="00B613C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rsid w:val="000F58FF"/>
    <w:pPr>
      <w:spacing w:after="200" w:line="360" w:lineRule="auto"/>
      <w:jc w:val="both"/>
    </w:pPr>
    <w:rPr>
      <w:rFonts w:ascii="Garamond" w:hAnsi="Garamond"/>
    </w:rPr>
  </w:style>
  <w:style w:type="paragraph" w:styleId="Heading1">
    <w:name w:val="heading 1"/>
    <w:basedOn w:val="Normal"/>
    <w:next w:val="Normal"/>
    <w:link w:val="Heading1Char"/>
    <w:autoRedefine/>
    <w:uiPriority w:val="9"/>
    <w:qFormat/>
    <w:rsid w:val="006975D2"/>
    <w:pPr>
      <w:keepNext/>
      <w:keepLines/>
      <w:numPr>
        <w:numId w:val="18"/>
      </w:numPr>
      <w:tabs>
        <w:tab w:val="left" w:pos="284"/>
      </w:tabs>
      <w:spacing w:before="120" w:after="0"/>
      <w:outlineLvl w:val="0"/>
    </w:pPr>
    <w:rPr>
      <w:rFonts w:eastAsiaTheme="majorEastAsia" w:cstheme="majorBidi"/>
      <w:b/>
      <w:bCs/>
      <w:sz w:val="26"/>
      <w:szCs w:val="32"/>
    </w:rPr>
  </w:style>
  <w:style w:type="paragraph" w:styleId="Heading2">
    <w:name w:val="heading 2"/>
    <w:basedOn w:val="Normal"/>
    <w:next w:val="Normal"/>
    <w:link w:val="Heading2Char"/>
    <w:autoRedefine/>
    <w:rsid w:val="006975D2"/>
    <w:pPr>
      <w:keepNext/>
      <w:keepLines/>
      <w:numPr>
        <w:ilvl w:val="1"/>
        <w:numId w:val="18"/>
      </w:numPr>
      <w:spacing w:after="0"/>
      <w:jc w:val="left"/>
      <w:outlineLvl w:val="1"/>
    </w:pPr>
    <w:rPr>
      <w:rFonts w:eastAsiaTheme="majorEastAsia" w:cstheme="majorBidi"/>
      <w:b/>
      <w:bCs/>
      <w:szCs w:val="26"/>
    </w:rPr>
  </w:style>
  <w:style w:type="paragraph" w:styleId="Heading3">
    <w:name w:val="heading 3"/>
    <w:basedOn w:val="Normal"/>
    <w:next w:val="Normal"/>
    <w:link w:val="Heading3Char"/>
    <w:rsid w:val="008C6C27"/>
    <w:pPr>
      <w:keepNext/>
      <w:keepLines/>
      <w:numPr>
        <w:ilvl w:val="2"/>
        <w:numId w:val="18"/>
      </w:numPr>
      <w:spacing w:after="0"/>
      <w:contextualSpacing/>
      <w:outlineLvl w:val="2"/>
    </w:pPr>
    <w:rPr>
      <w:rFonts w:asciiTheme="majorHAnsi" w:eastAsiaTheme="majorEastAsia" w:hAnsiTheme="majorHAnsi" w:cstheme="majorBidi"/>
      <w:b/>
      <w:bCs/>
    </w:rPr>
  </w:style>
  <w:style w:type="paragraph" w:styleId="Heading4">
    <w:name w:val="heading 4"/>
    <w:basedOn w:val="Normal"/>
    <w:next w:val="Normal"/>
    <w:link w:val="Heading4Char"/>
    <w:rsid w:val="008C6C27"/>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C6C27"/>
    <w:pPr>
      <w:keepNext/>
      <w:keepLines/>
      <w:numPr>
        <w:ilvl w:val="4"/>
        <w:numId w:val="18"/>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8C6C27"/>
    <w:pPr>
      <w:keepNext/>
      <w:keepLines/>
      <w:numPr>
        <w:ilvl w:val="5"/>
        <w:numId w:val="18"/>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8C6C27"/>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C6C27"/>
    <w:pPr>
      <w:keepNext/>
      <w:keepLines/>
      <w:numPr>
        <w:ilvl w:val="7"/>
        <w:numId w:val="18"/>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8C6C27"/>
    <w:pPr>
      <w:keepNext/>
      <w:keepLines/>
      <w:numPr>
        <w:ilvl w:val="8"/>
        <w:numId w:val="18"/>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rsid w:val="005D5FB3"/>
  </w:style>
  <w:style w:type="paragraph" w:customStyle="1" w:styleId="Aufzhlung">
    <w:name w:val="Aufzählung"/>
    <w:basedOn w:val="Normal"/>
    <w:autoRedefine/>
    <w:qFormat/>
    <w:rsid w:val="00DE7554"/>
    <w:pPr>
      <w:numPr>
        <w:numId w:val="10"/>
      </w:numPr>
      <w:spacing w:after="40" w:line="276" w:lineRule="auto"/>
    </w:pPr>
    <w:rPr>
      <w:rFonts w:eastAsia="Times New Roman"/>
    </w:rPr>
  </w:style>
  <w:style w:type="paragraph" w:styleId="ListContinue">
    <w:name w:val="List Continue"/>
    <w:basedOn w:val="Normal"/>
    <w:uiPriority w:val="99"/>
    <w:semiHidden/>
    <w:unhideWhenUsed/>
    <w:rsid w:val="00DE7554"/>
    <w:pPr>
      <w:spacing w:after="120"/>
      <w:ind w:left="283"/>
      <w:contextualSpacing/>
    </w:pPr>
  </w:style>
  <w:style w:type="paragraph" w:styleId="ListBullet">
    <w:name w:val="List Bullet"/>
    <w:basedOn w:val="Normal"/>
    <w:next w:val="Aufzhlung"/>
    <w:autoRedefine/>
    <w:uiPriority w:val="99"/>
    <w:semiHidden/>
    <w:unhideWhenUsed/>
    <w:rsid w:val="00DE7554"/>
    <w:pPr>
      <w:numPr>
        <w:numId w:val="6"/>
      </w:numPr>
      <w:contextualSpacing/>
    </w:pPr>
  </w:style>
  <w:style w:type="paragraph" w:styleId="NoteLevel1">
    <w:name w:val="Note Level 1"/>
    <w:basedOn w:val="Normal"/>
    <w:autoRedefine/>
    <w:uiPriority w:val="99"/>
    <w:unhideWhenUsed/>
    <w:rsid w:val="00DE7554"/>
    <w:pPr>
      <w:keepNext/>
      <w:numPr>
        <w:numId w:val="5"/>
      </w:numPr>
      <w:contextualSpacing/>
      <w:outlineLvl w:val="0"/>
    </w:pPr>
    <w:rPr>
      <w:rFonts w:eastAsia="ＭＳ ゴシック"/>
    </w:rPr>
  </w:style>
  <w:style w:type="character" w:customStyle="1" w:styleId="Heading1Char">
    <w:name w:val="Heading 1 Char"/>
    <w:basedOn w:val="DefaultParagraphFont"/>
    <w:link w:val="Heading1"/>
    <w:uiPriority w:val="9"/>
    <w:rsid w:val="006975D2"/>
    <w:rPr>
      <w:rFonts w:ascii="Garamond" w:eastAsiaTheme="majorEastAsia" w:hAnsi="Garamond" w:cstheme="majorBidi"/>
      <w:b/>
      <w:bCs/>
      <w:sz w:val="26"/>
      <w:szCs w:val="32"/>
    </w:rPr>
  </w:style>
  <w:style w:type="paragraph" w:styleId="TOC1">
    <w:name w:val="toc 1"/>
    <w:basedOn w:val="Normal"/>
    <w:next w:val="Normal"/>
    <w:autoRedefine/>
    <w:uiPriority w:val="39"/>
    <w:unhideWhenUsed/>
    <w:rsid w:val="004759CC"/>
    <w:pPr>
      <w:tabs>
        <w:tab w:val="left" w:pos="353"/>
        <w:tab w:val="right" w:leader="dot" w:pos="9356"/>
      </w:tabs>
      <w:ind w:left="-142" w:firstLine="142"/>
      <w:jc w:val="left"/>
    </w:pPr>
  </w:style>
  <w:style w:type="character" w:customStyle="1" w:styleId="Heading2Char">
    <w:name w:val="Heading 2 Char"/>
    <w:basedOn w:val="DefaultParagraphFont"/>
    <w:link w:val="Heading2"/>
    <w:rsid w:val="006975D2"/>
    <w:rPr>
      <w:rFonts w:ascii="Garamond" w:eastAsiaTheme="majorEastAsia" w:hAnsi="Garamond" w:cstheme="majorBidi"/>
      <w:b/>
      <w:bCs/>
      <w:szCs w:val="26"/>
    </w:rPr>
  </w:style>
  <w:style w:type="character" w:customStyle="1" w:styleId="Heading3Char">
    <w:name w:val="Heading 3 Char"/>
    <w:basedOn w:val="DefaultParagraphFont"/>
    <w:link w:val="Heading3"/>
    <w:rsid w:val="008C6C27"/>
    <w:rPr>
      <w:rFonts w:asciiTheme="majorHAnsi" w:eastAsiaTheme="majorEastAsia" w:hAnsiTheme="majorHAnsi" w:cstheme="majorBidi"/>
      <w:b/>
      <w:bCs/>
    </w:rPr>
  </w:style>
  <w:style w:type="paragraph" w:styleId="Caption">
    <w:name w:val="caption"/>
    <w:basedOn w:val="Normal"/>
    <w:next w:val="Normal"/>
    <w:autoRedefine/>
    <w:rsid w:val="00E24F37"/>
    <w:pPr>
      <w:spacing w:line="240" w:lineRule="auto"/>
    </w:pPr>
    <w:rPr>
      <w:bCs/>
      <w:sz w:val="18"/>
      <w:szCs w:val="18"/>
    </w:rPr>
  </w:style>
  <w:style w:type="character" w:customStyle="1" w:styleId="Heading4Char">
    <w:name w:val="Heading 4 Char"/>
    <w:basedOn w:val="DefaultParagraphFont"/>
    <w:link w:val="Heading4"/>
    <w:rsid w:val="008C6C2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8C6C27"/>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8C6C27"/>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8C6C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8C6C27"/>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8C6C27"/>
    <w:rPr>
      <w:rFonts w:asciiTheme="majorHAnsi" w:eastAsiaTheme="majorEastAsia" w:hAnsiTheme="majorHAnsi" w:cstheme="majorBidi"/>
      <w:i/>
      <w:iCs/>
      <w:color w:val="363636" w:themeColor="text1" w:themeTint="C9"/>
      <w:sz w:val="20"/>
      <w:szCs w:val="20"/>
    </w:rPr>
  </w:style>
  <w:style w:type="paragraph" w:customStyle="1" w:styleId="NotizEbene11">
    <w:name w:val="Notiz Ebene 11"/>
    <w:basedOn w:val="Normal"/>
    <w:autoRedefine/>
    <w:uiPriority w:val="99"/>
    <w:unhideWhenUsed/>
    <w:rsid w:val="000F58FF"/>
    <w:pPr>
      <w:keepNext/>
      <w:tabs>
        <w:tab w:val="num" w:pos="0"/>
      </w:tabs>
      <w:contextualSpacing/>
      <w:outlineLvl w:val="0"/>
    </w:pPr>
    <w:rPr>
      <w:rFonts w:eastAsia="MS Gothic"/>
    </w:rPr>
  </w:style>
  <w:style w:type="paragraph" w:styleId="ListParagraph">
    <w:name w:val="List Paragraph"/>
    <w:basedOn w:val="Normal"/>
    <w:uiPriority w:val="34"/>
    <w:qFormat/>
    <w:rsid w:val="000F58FF"/>
    <w:pPr>
      <w:spacing w:line="276" w:lineRule="auto"/>
      <w:ind w:left="720"/>
      <w:contextualSpacing/>
      <w:jc w:val="left"/>
    </w:pPr>
    <w:rPr>
      <w:rFonts w:asciiTheme="minorHAnsi" w:hAnsiTheme="minorHAnsi"/>
      <w:sz w:val="22"/>
      <w:szCs w:val="22"/>
    </w:rPr>
  </w:style>
  <w:style w:type="character" w:customStyle="1" w:styleId="normal0">
    <w:name w:val="normal"/>
    <w:basedOn w:val="DefaultParagraphFont"/>
    <w:rsid w:val="000F58FF"/>
  </w:style>
  <w:style w:type="paragraph" w:styleId="FootnoteText">
    <w:name w:val="footnote text"/>
    <w:basedOn w:val="Normal"/>
    <w:link w:val="FootnoteTextChar"/>
    <w:uiPriority w:val="99"/>
    <w:unhideWhenUsed/>
    <w:rsid w:val="000F58FF"/>
    <w:pPr>
      <w:spacing w:after="0" w:line="240" w:lineRule="auto"/>
    </w:pPr>
  </w:style>
  <w:style w:type="character" w:customStyle="1" w:styleId="FootnoteTextChar">
    <w:name w:val="Footnote Text Char"/>
    <w:basedOn w:val="DefaultParagraphFont"/>
    <w:link w:val="FootnoteText"/>
    <w:uiPriority w:val="99"/>
    <w:rsid w:val="000F58FF"/>
    <w:rPr>
      <w:rFonts w:ascii="Garamond" w:hAnsi="Garamond"/>
    </w:rPr>
  </w:style>
  <w:style w:type="character" w:styleId="FootnoteReference">
    <w:name w:val="footnote reference"/>
    <w:basedOn w:val="DefaultParagraphFont"/>
    <w:uiPriority w:val="99"/>
    <w:semiHidden/>
    <w:unhideWhenUsed/>
    <w:rsid w:val="000F58FF"/>
    <w:rPr>
      <w:vertAlign w:val="superscript"/>
    </w:rPr>
  </w:style>
  <w:style w:type="character" w:styleId="Hyperlink">
    <w:name w:val="Hyperlink"/>
    <w:basedOn w:val="DefaultParagraphFont"/>
    <w:rsid w:val="000F58FF"/>
    <w:rPr>
      <w:color w:val="0000FF" w:themeColor="hyperlink"/>
      <w:u w:val="single"/>
    </w:rPr>
  </w:style>
  <w:style w:type="paragraph" w:styleId="Header">
    <w:name w:val="header"/>
    <w:basedOn w:val="Normal"/>
    <w:link w:val="HeaderChar"/>
    <w:rsid w:val="000F58FF"/>
    <w:pPr>
      <w:tabs>
        <w:tab w:val="center" w:pos="4536"/>
        <w:tab w:val="right" w:pos="9072"/>
      </w:tabs>
      <w:spacing w:after="0" w:line="240" w:lineRule="auto"/>
    </w:pPr>
  </w:style>
  <w:style w:type="character" w:customStyle="1" w:styleId="HeaderChar">
    <w:name w:val="Header Char"/>
    <w:basedOn w:val="DefaultParagraphFont"/>
    <w:link w:val="Header"/>
    <w:rsid w:val="000F58FF"/>
    <w:rPr>
      <w:rFonts w:ascii="Garamond" w:hAnsi="Garamond"/>
    </w:rPr>
  </w:style>
  <w:style w:type="paragraph" w:styleId="Footer">
    <w:name w:val="footer"/>
    <w:basedOn w:val="Normal"/>
    <w:link w:val="FooterChar"/>
    <w:rsid w:val="000F58FF"/>
    <w:pPr>
      <w:tabs>
        <w:tab w:val="center" w:pos="4536"/>
        <w:tab w:val="right" w:pos="9072"/>
      </w:tabs>
      <w:spacing w:after="0" w:line="240" w:lineRule="auto"/>
    </w:pPr>
  </w:style>
  <w:style w:type="character" w:customStyle="1" w:styleId="FooterChar">
    <w:name w:val="Footer Char"/>
    <w:basedOn w:val="DefaultParagraphFont"/>
    <w:link w:val="Footer"/>
    <w:rsid w:val="000F58FF"/>
    <w:rPr>
      <w:rFonts w:ascii="Garamond" w:hAnsi="Garamond"/>
    </w:rPr>
  </w:style>
  <w:style w:type="character" w:styleId="PageNumber">
    <w:name w:val="page number"/>
    <w:basedOn w:val="DefaultParagraphFont"/>
    <w:rsid w:val="000F58FF"/>
  </w:style>
  <w:style w:type="character" w:styleId="FollowedHyperlink">
    <w:name w:val="FollowedHyperlink"/>
    <w:basedOn w:val="DefaultParagraphFont"/>
    <w:rsid w:val="000F58FF"/>
    <w:rPr>
      <w:color w:val="800080" w:themeColor="followedHyperlink"/>
      <w:u w:val="single"/>
    </w:rPr>
  </w:style>
  <w:style w:type="table" w:styleId="TableGrid">
    <w:name w:val="Table Grid"/>
    <w:basedOn w:val="TableNormal"/>
    <w:rsid w:val="000F58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0F58FF"/>
  </w:style>
  <w:style w:type="paragraph" w:styleId="NoSpacing">
    <w:name w:val="No Spacing"/>
    <w:link w:val="NoSpacingChar"/>
    <w:uiPriority w:val="99"/>
    <w:qFormat/>
    <w:rsid w:val="000F58FF"/>
    <w:rPr>
      <w:rFonts w:eastAsiaTheme="minorEastAsia"/>
      <w:sz w:val="22"/>
      <w:szCs w:val="22"/>
      <w:lang w:val="en-US"/>
    </w:rPr>
  </w:style>
  <w:style w:type="character" w:customStyle="1" w:styleId="NoSpacingChar">
    <w:name w:val="No Spacing Char"/>
    <w:basedOn w:val="DefaultParagraphFont"/>
    <w:link w:val="NoSpacing"/>
    <w:uiPriority w:val="99"/>
    <w:rsid w:val="000F58FF"/>
    <w:rPr>
      <w:rFonts w:eastAsiaTheme="minorEastAsia"/>
      <w:sz w:val="22"/>
      <w:szCs w:val="22"/>
      <w:lang w:val="en-US"/>
    </w:rPr>
  </w:style>
  <w:style w:type="paragraph" w:styleId="BalloonText">
    <w:name w:val="Balloon Text"/>
    <w:basedOn w:val="Normal"/>
    <w:link w:val="BalloonTextChar"/>
    <w:rsid w:val="000F5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58FF"/>
    <w:rPr>
      <w:rFonts w:ascii="Tahoma" w:hAnsi="Tahoma" w:cs="Tahoma"/>
      <w:sz w:val="16"/>
      <w:szCs w:val="16"/>
    </w:rPr>
  </w:style>
  <w:style w:type="paragraph" w:styleId="TOCHeading">
    <w:name w:val="TOC Heading"/>
    <w:basedOn w:val="Heading1"/>
    <w:next w:val="Normal"/>
    <w:uiPriority w:val="39"/>
    <w:unhideWhenUsed/>
    <w:qFormat/>
    <w:rsid w:val="000F58FF"/>
    <w:pPr>
      <w:numPr>
        <w:numId w:val="38"/>
      </w:numPr>
      <w:tabs>
        <w:tab w:val="clear" w:pos="284"/>
        <w:tab w:val="left" w:pos="567"/>
      </w:tabs>
      <w:spacing w:before="480" w:line="276" w:lineRule="auto"/>
      <w:ind w:left="0"/>
      <w:jc w:val="left"/>
      <w:outlineLvl w:val="9"/>
    </w:pPr>
    <w:rPr>
      <w:rFonts w:asciiTheme="majorHAnsi" w:hAnsiTheme="majorHAnsi"/>
      <w:color w:val="365F91" w:themeColor="accent1" w:themeShade="BF"/>
      <w:szCs w:val="28"/>
      <w:lang w:val="en-US"/>
    </w:rPr>
  </w:style>
  <w:style w:type="paragraph" w:customStyle="1" w:styleId="Assignment">
    <w:name w:val="Assignment"/>
    <w:basedOn w:val="Normal"/>
    <w:uiPriority w:val="99"/>
    <w:rsid w:val="000F58FF"/>
    <w:pPr>
      <w:spacing w:after="120"/>
      <w:ind w:left="360" w:hanging="360"/>
    </w:pPr>
    <w:rPr>
      <w:rFonts w:ascii="Times New Roman" w:eastAsia="Calibri" w:hAnsi="Times New Roman" w:cs="Times New Roman"/>
      <w:b/>
      <w:szCs w:val="22"/>
    </w:rPr>
  </w:style>
  <w:style w:type="paragraph" w:styleId="TOC2">
    <w:name w:val="toc 2"/>
    <w:basedOn w:val="Normal"/>
    <w:next w:val="Normal"/>
    <w:autoRedefine/>
    <w:uiPriority w:val="39"/>
    <w:rsid w:val="004759CC"/>
    <w:pPr>
      <w:tabs>
        <w:tab w:val="left" w:pos="758"/>
        <w:tab w:val="right" w:leader="dot" w:pos="9338"/>
      </w:tabs>
      <w:ind w:firstLine="240"/>
    </w:pPr>
  </w:style>
  <w:style w:type="paragraph" w:styleId="TOC3">
    <w:name w:val="toc 3"/>
    <w:basedOn w:val="Normal"/>
    <w:next w:val="Normal"/>
    <w:autoRedefine/>
    <w:rsid w:val="000F58FF"/>
    <w:pPr>
      <w:ind w:left="480"/>
    </w:pPr>
  </w:style>
  <w:style w:type="paragraph" w:styleId="TOC4">
    <w:name w:val="toc 4"/>
    <w:basedOn w:val="Normal"/>
    <w:next w:val="Normal"/>
    <w:autoRedefine/>
    <w:rsid w:val="000F58FF"/>
    <w:pPr>
      <w:ind w:left="720"/>
    </w:pPr>
  </w:style>
  <w:style w:type="paragraph" w:styleId="TOC5">
    <w:name w:val="toc 5"/>
    <w:basedOn w:val="Normal"/>
    <w:next w:val="Normal"/>
    <w:autoRedefine/>
    <w:rsid w:val="000F58FF"/>
    <w:pPr>
      <w:ind w:left="960"/>
    </w:pPr>
  </w:style>
  <w:style w:type="paragraph" w:styleId="TOC6">
    <w:name w:val="toc 6"/>
    <w:basedOn w:val="Normal"/>
    <w:next w:val="Normal"/>
    <w:autoRedefine/>
    <w:rsid w:val="000F58FF"/>
    <w:pPr>
      <w:ind w:left="1200"/>
    </w:pPr>
  </w:style>
  <w:style w:type="paragraph" w:styleId="TOC7">
    <w:name w:val="toc 7"/>
    <w:basedOn w:val="Normal"/>
    <w:next w:val="Normal"/>
    <w:autoRedefine/>
    <w:rsid w:val="000F58FF"/>
    <w:pPr>
      <w:ind w:left="1440"/>
    </w:pPr>
  </w:style>
  <w:style w:type="paragraph" w:styleId="TOC8">
    <w:name w:val="toc 8"/>
    <w:basedOn w:val="Normal"/>
    <w:next w:val="Normal"/>
    <w:autoRedefine/>
    <w:rsid w:val="000F58FF"/>
    <w:pPr>
      <w:ind w:left="1680"/>
    </w:pPr>
  </w:style>
  <w:style w:type="paragraph" w:styleId="TOC9">
    <w:name w:val="toc 9"/>
    <w:basedOn w:val="Normal"/>
    <w:next w:val="Normal"/>
    <w:autoRedefine/>
    <w:rsid w:val="000F58FF"/>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rsid w:val="000F58FF"/>
    <w:pPr>
      <w:spacing w:after="200" w:line="360" w:lineRule="auto"/>
      <w:jc w:val="both"/>
    </w:pPr>
    <w:rPr>
      <w:rFonts w:ascii="Garamond" w:hAnsi="Garamond"/>
    </w:rPr>
  </w:style>
  <w:style w:type="paragraph" w:styleId="Heading1">
    <w:name w:val="heading 1"/>
    <w:basedOn w:val="Normal"/>
    <w:next w:val="Normal"/>
    <w:link w:val="Heading1Char"/>
    <w:autoRedefine/>
    <w:uiPriority w:val="9"/>
    <w:qFormat/>
    <w:rsid w:val="006975D2"/>
    <w:pPr>
      <w:keepNext/>
      <w:keepLines/>
      <w:numPr>
        <w:numId w:val="18"/>
      </w:numPr>
      <w:tabs>
        <w:tab w:val="left" w:pos="284"/>
      </w:tabs>
      <w:spacing w:before="120" w:after="0"/>
      <w:outlineLvl w:val="0"/>
    </w:pPr>
    <w:rPr>
      <w:rFonts w:eastAsiaTheme="majorEastAsia" w:cstheme="majorBidi"/>
      <w:b/>
      <w:bCs/>
      <w:sz w:val="26"/>
      <w:szCs w:val="32"/>
    </w:rPr>
  </w:style>
  <w:style w:type="paragraph" w:styleId="Heading2">
    <w:name w:val="heading 2"/>
    <w:basedOn w:val="Normal"/>
    <w:next w:val="Normal"/>
    <w:link w:val="Heading2Char"/>
    <w:autoRedefine/>
    <w:rsid w:val="006975D2"/>
    <w:pPr>
      <w:keepNext/>
      <w:keepLines/>
      <w:numPr>
        <w:ilvl w:val="1"/>
        <w:numId w:val="18"/>
      </w:numPr>
      <w:spacing w:after="0"/>
      <w:jc w:val="left"/>
      <w:outlineLvl w:val="1"/>
    </w:pPr>
    <w:rPr>
      <w:rFonts w:eastAsiaTheme="majorEastAsia" w:cstheme="majorBidi"/>
      <w:b/>
      <w:bCs/>
      <w:szCs w:val="26"/>
    </w:rPr>
  </w:style>
  <w:style w:type="paragraph" w:styleId="Heading3">
    <w:name w:val="heading 3"/>
    <w:basedOn w:val="Normal"/>
    <w:next w:val="Normal"/>
    <w:link w:val="Heading3Char"/>
    <w:rsid w:val="008C6C27"/>
    <w:pPr>
      <w:keepNext/>
      <w:keepLines/>
      <w:numPr>
        <w:ilvl w:val="2"/>
        <w:numId w:val="18"/>
      </w:numPr>
      <w:spacing w:after="0"/>
      <w:contextualSpacing/>
      <w:outlineLvl w:val="2"/>
    </w:pPr>
    <w:rPr>
      <w:rFonts w:asciiTheme="majorHAnsi" w:eastAsiaTheme="majorEastAsia" w:hAnsiTheme="majorHAnsi" w:cstheme="majorBidi"/>
      <w:b/>
      <w:bCs/>
    </w:rPr>
  </w:style>
  <w:style w:type="paragraph" w:styleId="Heading4">
    <w:name w:val="heading 4"/>
    <w:basedOn w:val="Normal"/>
    <w:next w:val="Normal"/>
    <w:link w:val="Heading4Char"/>
    <w:rsid w:val="008C6C27"/>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C6C27"/>
    <w:pPr>
      <w:keepNext/>
      <w:keepLines/>
      <w:numPr>
        <w:ilvl w:val="4"/>
        <w:numId w:val="18"/>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8C6C27"/>
    <w:pPr>
      <w:keepNext/>
      <w:keepLines/>
      <w:numPr>
        <w:ilvl w:val="5"/>
        <w:numId w:val="18"/>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8C6C27"/>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C6C27"/>
    <w:pPr>
      <w:keepNext/>
      <w:keepLines/>
      <w:numPr>
        <w:ilvl w:val="7"/>
        <w:numId w:val="18"/>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8C6C27"/>
    <w:pPr>
      <w:keepNext/>
      <w:keepLines/>
      <w:numPr>
        <w:ilvl w:val="8"/>
        <w:numId w:val="18"/>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rsid w:val="005D5FB3"/>
  </w:style>
  <w:style w:type="paragraph" w:customStyle="1" w:styleId="Aufzhlung">
    <w:name w:val="Aufzählung"/>
    <w:basedOn w:val="Normal"/>
    <w:autoRedefine/>
    <w:qFormat/>
    <w:rsid w:val="00DE7554"/>
    <w:pPr>
      <w:numPr>
        <w:numId w:val="10"/>
      </w:numPr>
      <w:spacing w:after="40" w:line="276" w:lineRule="auto"/>
    </w:pPr>
    <w:rPr>
      <w:rFonts w:eastAsia="Times New Roman"/>
    </w:rPr>
  </w:style>
  <w:style w:type="paragraph" w:styleId="ListContinue">
    <w:name w:val="List Continue"/>
    <w:basedOn w:val="Normal"/>
    <w:uiPriority w:val="99"/>
    <w:semiHidden/>
    <w:unhideWhenUsed/>
    <w:rsid w:val="00DE7554"/>
    <w:pPr>
      <w:spacing w:after="120"/>
      <w:ind w:left="283"/>
      <w:contextualSpacing/>
    </w:pPr>
  </w:style>
  <w:style w:type="paragraph" w:styleId="ListBullet">
    <w:name w:val="List Bullet"/>
    <w:basedOn w:val="Normal"/>
    <w:next w:val="Aufzhlung"/>
    <w:autoRedefine/>
    <w:uiPriority w:val="99"/>
    <w:semiHidden/>
    <w:unhideWhenUsed/>
    <w:rsid w:val="00DE7554"/>
    <w:pPr>
      <w:numPr>
        <w:numId w:val="6"/>
      </w:numPr>
      <w:contextualSpacing/>
    </w:pPr>
  </w:style>
  <w:style w:type="paragraph" w:styleId="NoteLevel1">
    <w:name w:val="Note Level 1"/>
    <w:basedOn w:val="Normal"/>
    <w:autoRedefine/>
    <w:uiPriority w:val="99"/>
    <w:unhideWhenUsed/>
    <w:rsid w:val="00DE7554"/>
    <w:pPr>
      <w:keepNext/>
      <w:numPr>
        <w:numId w:val="5"/>
      </w:numPr>
      <w:contextualSpacing/>
      <w:outlineLvl w:val="0"/>
    </w:pPr>
    <w:rPr>
      <w:rFonts w:eastAsia="ＭＳ ゴシック"/>
    </w:rPr>
  </w:style>
  <w:style w:type="character" w:customStyle="1" w:styleId="Heading1Char">
    <w:name w:val="Heading 1 Char"/>
    <w:basedOn w:val="DefaultParagraphFont"/>
    <w:link w:val="Heading1"/>
    <w:uiPriority w:val="9"/>
    <w:rsid w:val="006975D2"/>
    <w:rPr>
      <w:rFonts w:ascii="Garamond" w:eastAsiaTheme="majorEastAsia" w:hAnsi="Garamond" w:cstheme="majorBidi"/>
      <w:b/>
      <w:bCs/>
      <w:sz w:val="26"/>
      <w:szCs w:val="32"/>
    </w:rPr>
  </w:style>
  <w:style w:type="paragraph" w:styleId="TOC1">
    <w:name w:val="toc 1"/>
    <w:basedOn w:val="Normal"/>
    <w:next w:val="Normal"/>
    <w:autoRedefine/>
    <w:uiPriority w:val="39"/>
    <w:unhideWhenUsed/>
    <w:rsid w:val="004759CC"/>
    <w:pPr>
      <w:tabs>
        <w:tab w:val="left" w:pos="353"/>
        <w:tab w:val="right" w:leader="dot" w:pos="9356"/>
      </w:tabs>
      <w:ind w:left="-142" w:firstLine="142"/>
      <w:jc w:val="left"/>
    </w:pPr>
  </w:style>
  <w:style w:type="character" w:customStyle="1" w:styleId="Heading2Char">
    <w:name w:val="Heading 2 Char"/>
    <w:basedOn w:val="DefaultParagraphFont"/>
    <w:link w:val="Heading2"/>
    <w:rsid w:val="006975D2"/>
    <w:rPr>
      <w:rFonts w:ascii="Garamond" w:eastAsiaTheme="majorEastAsia" w:hAnsi="Garamond" w:cstheme="majorBidi"/>
      <w:b/>
      <w:bCs/>
      <w:szCs w:val="26"/>
    </w:rPr>
  </w:style>
  <w:style w:type="character" w:customStyle="1" w:styleId="Heading3Char">
    <w:name w:val="Heading 3 Char"/>
    <w:basedOn w:val="DefaultParagraphFont"/>
    <w:link w:val="Heading3"/>
    <w:rsid w:val="008C6C27"/>
    <w:rPr>
      <w:rFonts w:asciiTheme="majorHAnsi" w:eastAsiaTheme="majorEastAsia" w:hAnsiTheme="majorHAnsi" w:cstheme="majorBidi"/>
      <w:b/>
      <w:bCs/>
    </w:rPr>
  </w:style>
  <w:style w:type="paragraph" w:styleId="Caption">
    <w:name w:val="caption"/>
    <w:basedOn w:val="Normal"/>
    <w:next w:val="Normal"/>
    <w:autoRedefine/>
    <w:rsid w:val="00E24F37"/>
    <w:pPr>
      <w:spacing w:line="240" w:lineRule="auto"/>
    </w:pPr>
    <w:rPr>
      <w:bCs/>
      <w:sz w:val="18"/>
      <w:szCs w:val="18"/>
    </w:rPr>
  </w:style>
  <w:style w:type="character" w:customStyle="1" w:styleId="Heading4Char">
    <w:name w:val="Heading 4 Char"/>
    <w:basedOn w:val="DefaultParagraphFont"/>
    <w:link w:val="Heading4"/>
    <w:rsid w:val="008C6C2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8C6C27"/>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8C6C27"/>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8C6C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8C6C27"/>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8C6C27"/>
    <w:rPr>
      <w:rFonts w:asciiTheme="majorHAnsi" w:eastAsiaTheme="majorEastAsia" w:hAnsiTheme="majorHAnsi" w:cstheme="majorBidi"/>
      <w:i/>
      <w:iCs/>
      <w:color w:val="363636" w:themeColor="text1" w:themeTint="C9"/>
      <w:sz w:val="20"/>
      <w:szCs w:val="20"/>
    </w:rPr>
  </w:style>
  <w:style w:type="paragraph" w:customStyle="1" w:styleId="NotizEbene11">
    <w:name w:val="Notiz Ebene 11"/>
    <w:basedOn w:val="Normal"/>
    <w:autoRedefine/>
    <w:uiPriority w:val="99"/>
    <w:unhideWhenUsed/>
    <w:rsid w:val="000F58FF"/>
    <w:pPr>
      <w:keepNext/>
      <w:tabs>
        <w:tab w:val="num" w:pos="0"/>
      </w:tabs>
      <w:contextualSpacing/>
      <w:outlineLvl w:val="0"/>
    </w:pPr>
    <w:rPr>
      <w:rFonts w:eastAsia="MS Gothic"/>
    </w:rPr>
  </w:style>
  <w:style w:type="paragraph" w:styleId="ListParagraph">
    <w:name w:val="List Paragraph"/>
    <w:basedOn w:val="Normal"/>
    <w:uiPriority w:val="34"/>
    <w:qFormat/>
    <w:rsid w:val="000F58FF"/>
    <w:pPr>
      <w:spacing w:line="276" w:lineRule="auto"/>
      <w:ind w:left="720"/>
      <w:contextualSpacing/>
      <w:jc w:val="left"/>
    </w:pPr>
    <w:rPr>
      <w:rFonts w:asciiTheme="minorHAnsi" w:hAnsiTheme="minorHAnsi"/>
      <w:sz w:val="22"/>
      <w:szCs w:val="22"/>
    </w:rPr>
  </w:style>
  <w:style w:type="character" w:customStyle="1" w:styleId="normal0">
    <w:name w:val="normal"/>
    <w:basedOn w:val="DefaultParagraphFont"/>
    <w:rsid w:val="000F58FF"/>
  </w:style>
  <w:style w:type="paragraph" w:styleId="FootnoteText">
    <w:name w:val="footnote text"/>
    <w:basedOn w:val="Normal"/>
    <w:link w:val="FootnoteTextChar"/>
    <w:uiPriority w:val="99"/>
    <w:unhideWhenUsed/>
    <w:rsid w:val="000F58FF"/>
    <w:pPr>
      <w:spacing w:after="0" w:line="240" w:lineRule="auto"/>
    </w:pPr>
  </w:style>
  <w:style w:type="character" w:customStyle="1" w:styleId="FootnoteTextChar">
    <w:name w:val="Footnote Text Char"/>
    <w:basedOn w:val="DefaultParagraphFont"/>
    <w:link w:val="FootnoteText"/>
    <w:uiPriority w:val="99"/>
    <w:rsid w:val="000F58FF"/>
    <w:rPr>
      <w:rFonts w:ascii="Garamond" w:hAnsi="Garamond"/>
    </w:rPr>
  </w:style>
  <w:style w:type="character" w:styleId="FootnoteReference">
    <w:name w:val="footnote reference"/>
    <w:basedOn w:val="DefaultParagraphFont"/>
    <w:uiPriority w:val="99"/>
    <w:semiHidden/>
    <w:unhideWhenUsed/>
    <w:rsid w:val="000F58FF"/>
    <w:rPr>
      <w:vertAlign w:val="superscript"/>
    </w:rPr>
  </w:style>
  <w:style w:type="character" w:styleId="Hyperlink">
    <w:name w:val="Hyperlink"/>
    <w:basedOn w:val="DefaultParagraphFont"/>
    <w:rsid w:val="000F58FF"/>
    <w:rPr>
      <w:color w:val="0000FF" w:themeColor="hyperlink"/>
      <w:u w:val="single"/>
    </w:rPr>
  </w:style>
  <w:style w:type="paragraph" w:styleId="Header">
    <w:name w:val="header"/>
    <w:basedOn w:val="Normal"/>
    <w:link w:val="HeaderChar"/>
    <w:rsid w:val="000F58FF"/>
    <w:pPr>
      <w:tabs>
        <w:tab w:val="center" w:pos="4536"/>
        <w:tab w:val="right" w:pos="9072"/>
      </w:tabs>
      <w:spacing w:after="0" w:line="240" w:lineRule="auto"/>
    </w:pPr>
  </w:style>
  <w:style w:type="character" w:customStyle="1" w:styleId="HeaderChar">
    <w:name w:val="Header Char"/>
    <w:basedOn w:val="DefaultParagraphFont"/>
    <w:link w:val="Header"/>
    <w:rsid w:val="000F58FF"/>
    <w:rPr>
      <w:rFonts w:ascii="Garamond" w:hAnsi="Garamond"/>
    </w:rPr>
  </w:style>
  <w:style w:type="paragraph" w:styleId="Footer">
    <w:name w:val="footer"/>
    <w:basedOn w:val="Normal"/>
    <w:link w:val="FooterChar"/>
    <w:rsid w:val="000F58FF"/>
    <w:pPr>
      <w:tabs>
        <w:tab w:val="center" w:pos="4536"/>
        <w:tab w:val="right" w:pos="9072"/>
      </w:tabs>
      <w:spacing w:after="0" w:line="240" w:lineRule="auto"/>
    </w:pPr>
  </w:style>
  <w:style w:type="character" w:customStyle="1" w:styleId="FooterChar">
    <w:name w:val="Footer Char"/>
    <w:basedOn w:val="DefaultParagraphFont"/>
    <w:link w:val="Footer"/>
    <w:rsid w:val="000F58FF"/>
    <w:rPr>
      <w:rFonts w:ascii="Garamond" w:hAnsi="Garamond"/>
    </w:rPr>
  </w:style>
  <w:style w:type="character" w:styleId="PageNumber">
    <w:name w:val="page number"/>
    <w:basedOn w:val="DefaultParagraphFont"/>
    <w:rsid w:val="000F58FF"/>
  </w:style>
  <w:style w:type="character" w:styleId="FollowedHyperlink">
    <w:name w:val="FollowedHyperlink"/>
    <w:basedOn w:val="DefaultParagraphFont"/>
    <w:rsid w:val="000F58FF"/>
    <w:rPr>
      <w:color w:val="800080" w:themeColor="followedHyperlink"/>
      <w:u w:val="single"/>
    </w:rPr>
  </w:style>
  <w:style w:type="table" w:styleId="TableGrid">
    <w:name w:val="Table Grid"/>
    <w:basedOn w:val="TableNormal"/>
    <w:rsid w:val="000F58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0F58FF"/>
  </w:style>
  <w:style w:type="paragraph" w:styleId="NoSpacing">
    <w:name w:val="No Spacing"/>
    <w:link w:val="NoSpacingChar"/>
    <w:uiPriority w:val="99"/>
    <w:qFormat/>
    <w:rsid w:val="000F58FF"/>
    <w:rPr>
      <w:rFonts w:eastAsiaTheme="minorEastAsia"/>
      <w:sz w:val="22"/>
      <w:szCs w:val="22"/>
      <w:lang w:val="en-US"/>
    </w:rPr>
  </w:style>
  <w:style w:type="character" w:customStyle="1" w:styleId="NoSpacingChar">
    <w:name w:val="No Spacing Char"/>
    <w:basedOn w:val="DefaultParagraphFont"/>
    <w:link w:val="NoSpacing"/>
    <w:uiPriority w:val="99"/>
    <w:rsid w:val="000F58FF"/>
    <w:rPr>
      <w:rFonts w:eastAsiaTheme="minorEastAsia"/>
      <w:sz w:val="22"/>
      <w:szCs w:val="22"/>
      <w:lang w:val="en-US"/>
    </w:rPr>
  </w:style>
  <w:style w:type="paragraph" w:styleId="BalloonText">
    <w:name w:val="Balloon Text"/>
    <w:basedOn w:val="Normal"/>
    <w:link w:val="BalloonTextChar"/>
    <w:rsid w:val="000F5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58FF"/>
    <w:rPr>
      <w:rFonts w:ascii="Tahoma" w:hAnsi="Tahoma" w:cs="Tahoma"/>
      <w:sz w:val="16"/>
      <w:szCs w:val="16"/>
    </w:rPr>
  </w:style>
  <w:style w:type="paragraph" w:styleId="TOCHeading">
    <w:name w:val="TOC Heading"/>
    <w:basedOn w:val="Heading1"/>
    <w:next w:val="Normal"/>
    <w:uiPriority w:val="39"/>
    <w:unhideWhenUsed/>
    <w:qFormat/>
    <w:rsid w:val="000F58FF"/>
    <w:pPr>
      <w:numPr>
        <w:numId w:val="38"/>
      </w:numPr>
      <w:tabs>
        <w:tab w:val="clear" w:pos="284"/>
        <w:tab w:val="left" w:pos="567"/>
      </w:tabs>
      <w:spacing w:before="480" w:line="276" w:lineRule="auto"/>
      <w:ind w:left="0"/>
      <w:jc w:val="left"/>
      <w:outlineLvl w:val="9"/>
    </w:pPr>
    <w:rPr>
      <w:rFonts w:asciiTheme="majorHAnsi" w:hAnsiTheme="majorHAnsi"/>
      <w:color w:val="365F91" w:themeColor="accent1" w:themeShade="BF"/>
      <w:szCs w:val="28"/>
      <w:lang w:val="en-US"/>
    </w:rPr>
  </w:style>
  <w:style w:type="paragraph" w:customStyle="1" w:styleId="Assignment">
    <w:name w:val="Assignment"/>
    <w:basedOn w:val="Normal"/>
    <w:uiPriority w:val="99"/>
    <w:rsid w:val="000F58FF"/>
    <w:pPr>
      <w:spacing w:after="120"/>
      <w:ind w:left="360" w:hanging="360"/>
    </w:pPr>
    <w:rPr>
      <w:rFonts w:ascii="Times New Roman" w:eastAsia="Calibri" w:hAnsi="Times New Roman" w:cs="Times New Roman"/>
      <w:b/>
      <w:szCs w:val="22"/>
    </w:rPr>
  </w:style>
  <w:style w:type="paragraph" w:styleId="TOC2">
    <w:name w:val="toc 2"/>
    <w:basedOn w:val="Normal"/>
    <w:next w:val="Normal"/>
    <w:autoRedefine/>
    <w:uiPriority w:val="39"/>
    <w:rsid w:val="004759CC"/>
    <w:pPr>
      <w:tabs>
        <w:tab w:val="left" w:pos="758"/>
        <w:tab w:val="right" w:leader="dot" w:pos="9338"/>
      </w:tabs>
      <w:ind w:firstLine="240"/>
    </w:pPr>
  </w:style>
  <w:style w:type="paragraph" w:styleId="TOC3">
    <w:name w:val="toc 3"/>
    <w:basedOn w:val="Normal"/>
    <w:next w:val="Normal"/>
    <w:autoRedefine/>
    <w:rsid w:val="000F58FF"/>
    <w:pPr>
      <w:ind w:left="480"/>
    </w:pPr>
  </w:style>
  <w:style w:type="paragraph" w:styleId="TOC4">
    <w:name w:val="toc 4"/>
    <w:basedOn w:val="Normal"/>
    <w:next w:val="Normal"/>
    <w:autoRedefine/>
    <w:rsid w:val="000F58FF"/>
    <w:pPr>
      <w:ind w:left="720"/>
    </w:pPr>
  </w:style>
  <w:style w:type="paragraph" w:styleId="TOC5">
    <w:name w:val="toc 5"/>
    <w:basedOn w:val="Normal"/>
    <w:next w:val="Normal"/>
    <w:autoRedefine/>
    <w:rsid w:val="000F58FF"/>
    <w:pPr>
      <w:ind w:left="960"/>
    </w:pPr>
  </w:style>
  <w:style w:type="paragraph" w:styleId="TOC6">
    <w:name w:val="toc 6"/>
    <w:basedOn w:val="Normal"/>
    <w:next w:val="Normal"/>
    <w:autoRedefine/>
    <w:rsid w:val="000F58FF"/>
    <w:pPr>
      <w:ind w:left="1200"/>
    </w:pPr>
  </w:style>
  <w:style w:type="paragraph" w:styleId="TOC7">
    <w:name w:val="toc 7"/>
    <w:basedOn w:val="Normal"/>
    <w:next w:val="Normal"/>
    <w:autoRedefine/>
    <w:rsid w:val="000F58FF"/>
    <w:pPr>
      <w:ind w:left="1440"/>
    </w:pPr>
  </w:style>
  <w:style w:type="paragraph" w:styleId="TOC8">
    <w:name w:val="toc 8"/>
    <w:basedOn w:val="Normal"/>
    <w:next w:val="Normal"/>
    <w:autoRedefine/>
    <w:rsid w:val="000F58FF"/>
    <w:pPr>
      <w:ind w:left="1680"/>
    </w:pPr>
  </w:style>
  <w:style w:type="paragraph" w:styleId="TOC9">
    <w:name w:val="toc 9"/>
    <w:basedOn w:val="Normal"/>
    <w:next w:val="Normal"/>
    <w:autoRedefine/>
    <w:rsid w:val="000F58FF"/>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ytimes.com/2010/01/28/business/global/28davos.html" TargetMode="External"/><Relationship Id="rId20" Type="http://schemas.openxmlformats.org/officeDocument/2006/relationships/hyperlink" Target="http://www.treasury.gov/press-center/press-releases/Pages/tg920.aspx" TargetMode="External"/><Relationship Id="rId21" Type="http://schemas.openxmlformats.org/officeDocument/2006/relationships/hyperlink" Target="http://www.washingtonpost.com/wp-dyn/content/article/2010/10/22/AR2010102206672.html" TargetMode="External"/><Relationship Id="rId22" Type="http://schemas.openxmlformats.org/officeDocument/2006/relationships/hyperlink" Target="http://www.imf.org/external/np/exr/facts/pdf/quotas.pdf" TargetMode="External"/><Relationship Id="rId23" Type="http://schemas.openxmlformats.org/officeDocument/2006/relationships/hyperlink" Target="http://www.imf.org/external/np/exr/facts/pdf/sdr.pdf" TargetMode="External"/><Relationship Id="rId24" Type="http://schemas.openxmlformats.org/officeDocument/2006/relationships/hyperlink" Target="http://www.imf.org/external/np/sta/cofer/eng/cofer.pdf" TargetMode="External"/><Relationship Id="rId25" Type="http://schemas.openxmlformats.org/officeDocument/2006/relationships/hyperlink" Target="http://www.imf.org/external/pubs/ft/spn/2009/spn0926.pdf" TargetMode="External"/><Relationship Id="rId26" Type="http://schemas.openxmlformats.org/officeDocument/2006/relationships/hyperlink" Target="http://dealbook.nytimes.com/2011/01/12/bank-of-china-lets-americans-bet-on-yuan/?pagemode=print" TargetMode="External"/><Relationship Id="rId27" Type="http://schemas.openxmlformats.org/officeDocument/2006/relationships/hyperlink" Target="http://online.wsj.com/article/SB123669930494383169.html" TargetMode="External"/><Relationship Id="rId28" Type="http://schemas.openxmlformats.org/officeDocument/2006/relationships/hyperlink" Target="http://www.bis.org/review/r100427e.pdf"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kof.ethz.ch/publications/science/pdf/wp_118.pdf" TargetMode="External"/><Relationship Id="rId11" Type="http://schemas.openxmlformats.org/officeDocument/2006/relationships/hyperlink" Target="http://www.econ.berkeley.edu/~eichengr/managing_multiple_res_curr_world.pdf" TargetMode="External"/><Relationship Id="rId12" Type="http://schemas.openxmlformats.org/officeDocument/2006/relationships/hyperlink" Target="http://www.handelsblatt.com/politik/konjunktur/_b=2230067,_p=31,_t=ftprint,doc_page=0;printpage" TargetMode="External"/><Relationship Id="rId13" Type="http://schemas.openxmlformats.org/officeDocument/2006/relationships/hyperlink" Target="http://www.financialstabilityboard.org/press/pr_090402b.pdf" TargetMode="External"/><Relationship Id="rId14" Type="http://schemas.openxmlformats.org/officeDocument/2006/relationships/hyperlink" Target="http://www.g20.org/Documents/201010_communique_gyeongju.pdf" TargetMode="External"/><Relationship Id="rId15" Type="http://schemas.openxmlformats.org/officeDocument/2006/relationships/hyperlink" Target="http://www.g20.org/Documents/g20_summit_declaration.pdf" TargetMode="External"/><Relationship Id="rId16" Type="http://schemas.openxmlformats.org/officeDocument/2006/relationships/hyperlink" Target="http://www.g20.org/Documents/pittsburgh_summit_leaders_statement_250909.pdf" TargetMode="External"/><Relationship Id="rId17" Type="http://schemas.openxmlformats.org/officeDocument/2006/relationships/hyperlink" Target="http://www.g20.org/Documents/Fin_Deps_IFI_Annex_Draft_02_04_09_-_1615_Clean.pdf" TargetMode="External"/><Relationship Id="rId18" Type="http://schemas.openxmlformats.org/officeDocument/2006/relationships/hyperlink" Target="http://www.g20.org/Documents/g20_declaration_en.pdf" TargetMode="External"/><Relationship Id="rId19" Type="http://schemas.openxmlformats.org/officeDocument/2006/relationships/hyperlink" Target="http://www.g20.org/Documents2010/11/seoulsummit_declaratio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s.org/publ/bcbs189.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4933</Words>
  <Characters>28124</Characters>
  <Application>Microsoft Macintosh Word</Application>
  <DocSecurity>0</DocSecurity>
  <Lines>234</Lines>
  <Paragraphs>65</Paragraphs>
  <ScaleCrop>false</ScaleCrop>
  <Company>Institute for New Economic Thinking</Company>
  <LinksUpToDate>false</LinksUpToDate>
  <CharactersWithSpaces>32992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Joschka</dc:creator>
  <cp:keywords/>
  <cp:lastModifiedBy>Jay Pocklington</cp:lastModifiedBy>
  <cp:revision>2</cp:revision>
  <cp:lastPrinted>2011-01-14T19:26:00Z</cp:lastPrinted>
  <dcterms:created xsi:type="dcterms:W3CDTF">2013-12-13T16:27:00Z</dcterms:created>
  <dcterms:modified xsi:type="dcterms:W3CDTF">2013-12-13T16:27:00Z</dcterms:modified>
</cp:coreProperties>
</file>